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00" w:lineRule="exact"/>
        <w:jc w:val="right"/>
        <w:rPr>
          <w:rFonts w:eastAsia="隶书"/>
          <w:b/>
          <w:sz w:val="36"/>
        </w:rPr>
      </w:pPr>
      <w:bookmarkStart w:id="0" w:name="_GoBack"/>
      <w:bookmarkEnd w:id="0"/>
    </w:p>
    <w:p>
      <w:pPr>
        <w:adjustRightInd w:val="0"/>
        <w:snapToGrid w:val="0"/>
        <w:spacing w:line="300" w:lineRule="exact"/>
        <w:ind w:right="720"/>
        <w:rPr>
          <w:rFonts w:eastAsia="隶书"/>
          <w:b/>
          <w:sz w:val="36"/>
        </w:rPr>
      </w:pPr>
    </w:p>
    <w:p>
      <w:pPr>
        <w:adjustRightInd w:val="0"/>
        <w:snapToGrid w:val="0"/>
        <w:spacing w:line="300" w:lineRule="exact"/>
        <w:ind w:right="720"/>
        <w:rPr>
          <w:sz w:val="28"/>
        </w:rPr>
      </w:pPr>
    </w:p>
    <w:p>
      <w:pPr>
        <w:snapToGrid w:val="0"/>
        <w:jc w:val="center"/>
        <w:rPr>
          <w:rFonts w:ascii="方正小标宋简体" w:eastAsia="方正小标宋简体"/>
          <w:bCs/>
          <w:sz w:val="52"/>
          <w:szCs w:val="52"/>
        </w:rPr>
      </w:pPr>
      <w:r>
        <w:rPr>
          <w:rFonts w:hint="eastAsia" w:ascii="方正小标宋简体" w:eastAsia="方正小标宋简体"/>
          <w:bCs/>
          <w:sz w:val="52"/>
          <w:szCs w:val="52"/>
        </w:rPr>
        <w:t>苏州市市级国库现金管理</w:t>
      </w:r>
    </w:p>
    <w:p>
      <w:pPr>
        <w:snapToGrid w:val="0"/>
        <w:jc w:val="center"/>
        <w:rPr>
          <w:rFonts w:ascii="方正小标宋简体" w:eastAsia="方正小标宋简体"/>
          <w:bCs/>
          <w:sz w:val="52"/>
          <w:szCs w:val="52"/>
        </w:rPr>
      </w:pPr>
      <w:r>
        <w:rPr>
          <w:rFonts w:hint="eastAsia" w:ascii="方正小标宋简体" w:eastAsia="方正小标宋简体"/>
          <w:bCs/>
          <w:sz w:val="52"/>
          <w:szCs w:val="52"/>
        </w:rPr>
        <w:t>商业银行定期存款项目</w:t>
      </w:r>
    </w:p>
    <w:p>
      <w:pPr>
        <w:spacing w:line="360" w:lineRule="auto"/>
        <w:jc w:val="center"/>
        <w:rPr>
          <w:rFonts w:eastAsia="楷体_GB2312"/>
          <w:sz w:val="44"/>
          <w:szCs w:val="44"/>
        </w:rPr>
      </w:pPr>
      <w:r>
        <w:rPr>
          <w:rFonts w:eastAsia="楷体_GB2312"/>
          <w:sz w:val="44"/>
          <w:szCs w:val="44"/>
        </w:rPr>
        <w:t>（</w:t>
      </w:r>
      <w:r>
        <w:rPr>
          <w:rFonts w:hint="eastAsia" w:eastAsia="楷体_GB2312"/>
          <w:sz w:val="44"/>
          <w:szCs w:val="44"/>
        </w:rPr>
        <w:t>2025</w:t>
      </w:r>
      <w:r>
        <w:rPr>
          <w:rFonts w:eastAsia="楷体_GB2312"/>
          <w:sz w:val="44"/>
          <w:szCs w:val="44"/>
        </w:rPr>
        <w:t>年第</w:t>
      </w:r>
      <w:r>
        <w:rPr>
          <w:rFonts w:hint="eastAsia" w:eastAsia="楷体_GB2312"/>
          <w:sz w:val="44"/>
          <w:szCs w:val="44"/>
        </w:rPr>
        <w:t>3</w:t>
      </w:r>
      <w:r>
        <w:rPr>
          <w:rFonts w:eastAsia="楷体_GB2312"/>
          <w:sz w:val="44"/>
          <w:szCs w:val="44"/>
        </w:rPr>
        <w:t>期，总第</w:t>
      </w:r>
      <w:r>
        <w:rPr>
          <w:rFonts w:hint="eastAsia" w:eastAsia="楷体_GB2312"/>
          <w:sz w:val="44"/>
          <w:szCs w:val="44"/>
        </w:rPr>
        <w:t>3</w:t>
      </w:r>
      <w:r>
        <w:rPr>
          <w:rFonts w:eastAsia="楷体_GB2312"/>
          <w:sz w:val="44"/>
          <w:szCs w:val="44"/>
        </w:rPr>
        <w:t>期）</w:t>
      </w:r>
    </w:p>
    <w:p>
      <w:pPr>
        <w:spacing w:line="360" w:lineRule="auto"/>
        <w:jc w:val="center"/>
        <w:rPr>
          <w:rFonts w:ascii="方正小标宋_GBK" w:eastAsia="方正小标宋_GBK"/>
          <w:b/>
          <w:w w:val="150"/>
          <w:sz w:val="72"/>
          <w:szCs w:val="72"/>
        </w:rPr>
      </w:pPr>
      <w:r>
        <w:rPr>
          <w:rFonts w:hint="eastAsia" w:ascii="方正小标宋_GBK" w:eastAsia="方正小标宋_GBK"/>
          <w:b/>
          <w:w w:val="150"/>
          <w:sz w:val="72"/>
          <w:szCs w:val="72"/>
        </w:rPr>
        <w:t>招</w:t>
      </w:r>
    </w:p>
    <w:p>
      <w:pPr>
        <w:spacing w:line="360" w:lineRule="auto"/>
        <w:jc w:val="center"/>
        <w:rPr>
          <w:rFonts w:ascii="方正小标宋_GBK" w:eastAsia="方正小标宋_GBK"/>
          <w:sz w:val="32"/>
          <w:szCs w:val="32"/>
        </w:rPr>
      </w:pPr>
    </w:p>
    <w:p>
      <w:pPr>
        <w:spacing w:line="360" w:lineRule="auto"/>
        <w:jc w:val="center"/>
        <w:rPr>
          <w:rFonts w:ascii="方正小标宋_GBK" w:eastAsia="方正小标宋_GBK"/>
          <w:sz w:val="72"/>
          <w:szCs w:val="72"/>
        </w:rPr>
      </w:pPr>
      <w:r>
        <w:rPr>
          <w:rFonts w:hint="eastAsia" w:ascii="方正小标宋_GBK" w:eastAsia="方正小标宋_GBK"/>
          <w:b/>
          <w:w w:val="150"/>
          <w:sz w:val="72"/>
          <w:szCs w:val="72"/>
        </w:rPr>
        <w:t>标</w:t>
      </w:r>
    </w:p>
    <w:p>
      <w:pPr>
        <w:spacing w:line="360" w:lineRule="auto"/>
        <w:jc w:val="center"/>
        <w:rPr>
          <w:rFonts w:ascii="方正小标宋_GBK" w:eastAsia="方正小标宋_GBK"/>
          <w:sz w:val="32"/>
          <w:szCs w:val="32"/>
        </w:rPr>
      </w:pPr>
    </w:p>
    <w:p>
      <w:pPr>
        <w:spacing w:line="360" w:lineRule="auto"/>
        <w:jc w:val="center"/>
        <w:rPr>
          <w:rFonts w:ascii="方正小标宋_GBK" w:eastAsia="方正小标宋_GBK"/>
          <w:b/>
          <w:sz w:val="72"/>
          <w:szCs w:val="72"/>
        </w:rPr>
      </w:pPr>
      <w:r>
        <w:rPr>
          <w:rFonts w:hint="eastAsia" w:ascii="方正小标宋_GBK" w:eastAsia="方正小标宋_GBK"/>
          <w:b/>
          <w:w w:val="150"/>
          <w:sz w:val="72"/>
          <w:szCs w:val="72"/>
        </w:rPr>
        <w:t>文</w:t>
      </w:r>
    </w:p>
    <w:p>
      <w:pPr>
        <w:spacing w:line="360" w:lineRule="auto"/>
        <w:jc w:val="center"/>
        <w:rPr>
          <w:rFonts w:ascii="方正小标宋_GBK" w:eastAsia="方正小标宋_GBK"/>
          <w:sz w:val="32"/>
          <w:szCs w:val="32"/>
        </w:rPr>
      </w:pPr>
    </w:p>
    <w:p>
      <w:pPr>
        <w:spacing w:line="360" w:lineRule="auto"/>
        <w:jc w:val="center"/>
        <w:rPr>
          <w:sz w:val="28"/>
        </w:rPr>
      </w:pPr>
      <w:r>
        <w:rPr>
          <w:rFonts w:hint="eastAsia" w:ascii="方正小标宋_GBK" w:eastAsia="方正小标宋_GBK"/>
          <w:b/>
          <w:w w:val="150"/>
          <w:sz w:val="72"/>
          <w:szCs w:val="72"/>
        </w:rPr>
        <w:t>件</w:t>
      </w:r>
    </w:p>
    <w:p>
      <w:pPr>
        <w:spacing w:line="360" w:lineRule="auto"/>
        <w:jc w:val="center"/>
        <w:rPr>
          <w:rFonts w:eastAsia="楷体_GB2312"/>
          <w:sz w:val="44"/>
          <w:szCs w:val="44"/>
        </w:rPr>
      </w:pPr>
      <w:r>
        <w:rPr>
          <w:rFonts w:hint="eastAsia" w:eastAsia="楷体_GB2312"/>
          <w:sz w:val="44"/>
          <w:szCs w:val="44"/>
        </w:rPr>
        <w:t>苏州市财政局  中国人民银行苏州市分行</w:t>
      </w:r>
    </w:p>
    <w:p>
      <w:pPr>
        <w:spacing w:line="360" w:lineRule="auto"/>
        <w:jc w:val="center"/>
        <w:rPr>
          <w:rFonts w:eastAsia="楷体_GB2312"/>
          <w:sz w:val="44"/>
          <w:szCs w:val="44"/>
        </w:rPr>
      </w:pPr>
      <w:r>
        <w:rPr>
          <w:rFonts w:hint="eastAsia" w:eastAsia="楷体_GB2312"/>
          <w:sz w:val="44"/>
          <w:szCs w:val="44"/>
        </w:rPr>
        <w:t>2025</w:t>
      </w:r>
      <w:r>
        <w:rPr>
          <w:rFonts w:eastAsia="楷体_GB2312"/>
          <w:sz w:val="44"/>
          <w:szCs w:val="44"/>
        </w:rPr>
        <w:t>年9</w:t>
      </w:r>
      <w:r>
        <w:rPr>
          <w:rFonts w:hint="eastAsia" w:eastAsia="楷体_GB2312"/>
          <w:sz w:val="44"/>
          <w:szCs w:val="44"/>
        </w:rPr>
        <w:t>月</w:t>
      </w:r>
    </w:p>
    <w:p>
      <w:pPr>
        <w:spacing w:line="360" w:lineRule="auto"/>
        <w:jc w:val="center"/>
        <w:rPr>
          <w:rFonts w:eastAsia="楷体_GB2312"/>
          <w:sz w:val="44"/>
          <w:szCs w:val="44"/>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目   录</w:t>
      </w:r>
    </w:p>
    <w:p>
      <w:pPr>
        <w:jc w:val="center"/>
        <w:rPr>
          <w:rFonts w:eastAsia="仿宋_GB2312"/>
          <w:b/>
          <w:sz w:val="30"/>
          <w:szCs w:val="30"/>
        </w:rPr>
      </w:pPr>
    </w:p>
    <w:p>
      <w:pPr>
        <w:ind w:left="227"/>
        <w:outlineLvl w:val="0"/>
        <w:rPr>
          <w:rFonts w:ascii="仿宋_GB2312" w:eastAsia="仿宋_GB2312"/>
          <w:bCs/>
          <w:sz w:val="30"/>
          <w:szCs w:val="30"/>
        </w:rPr>
      </w:pPr>
      <w:r>
        <w:rPr>
          <w:rFonts w:hint="eastAsia" w:ascii="仿宋_GB2312" w:eastAsia="仿宋_GB2312"/>
          <w:bCs/>
          <w:sz w:val="30"/>
          <w:szCs w:val="30"/>
        </w:rPr>
        <w:t>第一章  招标公告</w:t>
      </w:r>
    </w:p>
    <w:p>
      <w:pPr>
        <w:ind w:left="227"/>
        <w:outlineLvl w:val="0"/>
        <w:rPr>
          <w:rFonts w:ascii="仿宋_GB2312" w:eastAsia="仿宋_GB2312"/>
          <w:bCs/>
          <w:sz w:val="30"/>
          <w:szCs w:val="30"/>
        </w:rPr>
      </w:pPr>
      <w:r>
        <w:rPr>
          <w:rFonts w:hint="eastAsia" w:ascii="仿宋_GB2312" w:eastAsia="仿宋_GB2312"/>
          <w:bCs/>
          <w:sz w:val="30"/>
          <w:szCs w:val="30"/>
        </w:rPr>
        <w:t>第二章  投标人须知</w:t>
      </w:r>
    </w:p>
    <w:p>
      <w:pPr>
        <w:ind w:left="227"/>
        <w:outlineLvl w:val="0"/>
        <w:rPr>
          <w:rFonts w:ascii="仿宋_GB2312" w:eastAsia="仿宋_GB2312"/>
          <w:bCs/>
          <w:sz w:val="30"/>
          <w:szCs w:val="30"/>
        </w:rPr>
      </w:pPr>
      <w:r>
        <w:rPr>
          <w:rFonts w:hint="eastAsia" w:ascii="仿宋_GB2312" w:eastAsia="仿宋_GB2312"/>
          <w:bCs/>
          <w:sz w:val="30"/>
          <w:szCs w:val="30"/>
        </w:rPr>
        <w:t>第三章  评标标准和中标资金分配方法</w:t>
      </w:r>
    </w:p>
    <w:p>
      <w:pPr>
        <w:ind w:left="227"/>
        <w:outlineLvl w:val="0"/>
        <w:rPr>
          <w:rFonts w:ascii="仿宋_GB2312" w:eastAsia="仿宋_GB2312"/>
          <w:bCs/>
          <w:sz w:val="30"/>
          <w:szCs w:val="30"/>
        </w:rPr>
      </w:pPr>
    </w:p>
    <w:p>
      <w:pPr>
        <w:ind w:left="227"/>
        <w:outlineLvl w:val="0"/>
        <w:rPr>
          <w:rFonts w:ascii="仿宋_GB2312" w:eastAsia="仿宋_GB2312"/>
          <w:bCs/>
          <w:sz w:val="30"/>
          <w:szCs w:val="30"/>
        </w:rPr>
      </w:pPr>
    </w:p>
    <w:p>
      <w:pPr>
        <w:ind w:left="227"/>
        <w:outlineLvl w:val="0"/>
        <w:rPr>
          <w:rFonts w:ascii="仿宋_GB2312" w:eastAsia="仿宋_GB2312"/>
          <w:bCs/>
          <w:sz w:val="30"/>
          <w:szCs w:val="30"/>
        </w:rPr>
      </w:pPr>
      <w:r>
        <w:rPr>
          <w:rFonts w:hint="eastAsia" w:ascii="仿宋_GB2312" w:eastAsia="仿宋_GB2312"/>
          <w:bCs/>
          <w:sz w:val="30"/>
          <w:szCs w:val="30"/>
        </w:rPr>
        <w:t>附件1：投标函（格式）</w:t>
      </w:r>
    </w:p>
    <w:p>
      <w:pPr>
        <w:ind w:left="227"/>
        <w:outlineLvl w:val="0"/>
        <w:rPr>
          <w:rFonts w:ascii="仿宋_GB2312" w:eastAsia="仿宋_GB2312"/>
          <w:bCs/>
          <w:sz w:val="30"/>
          <w:szCs w:val="30"/>
        </w:rPr>
      </w:pPr>
      <w:r>
        <w:rPr>
          <w:rFonts w:hint="eastAsia" w:ascii="仿宋_GB2312" w:eastAsia="仿宋_GB2312"/>
          <w:bCs/>
          <w:sz w:val="30"/>
          <w:szCs w:val="30"/>
        </w:rPr>
        <w:t>附件2：投标一览表（格式）</w:t>
      </w:r>
    </w:p>
    <w:p>
      <w:pPr>
        <w:ind w:left="227"/>
        <w:outlineLvl w:val="0"/>
        <w:rPr>
          <w:rFonts w:ascii="仿宋_GB2312" w:eastAsia="仿宋_GB2312"/>
          <w:bCs/>
          <w:sz w:val="30"/>
          <w:szCs w:val="30"/>
        </w:rPr>
      </w:pPr>
      <w:r>
        <w:rPr>
          <w:rFonts w:hint="eastAsia" w:ascii="仿宋_GB2312" w:eastAsia="仿宋_GB2312"/>
          <w:bCs/>
          <w:sz w:val="30"/>
          <w:szCs w:val="30"/>
        </w:rPr>
        <w:t>附件3：授权委托书（格式）</w:t>
      </w:r>
    </w:p>
    <w:p>
      <w:pPr>
        <w:ind w:left="227"/>
        <w:outlineLvl w:val="0"/>
        <w:rPr>
          <w:rFonts w:ascii="仿宋_GB2312" w:eastAsia="仿宋_GB2312"/>
          <w:bCs/>
          <w:sz w:val="30"/>
          <w:szCs w:val="30"/>
        </w:rPr>
      </w:pPr>
      <w:r>
        <w:rPr>
          <w:rFonts w:hint="eastAsia" w:ascii="仿宋_GB2312" w:eastAsia="仿宋_GB2312"/>
          <w:bCs/>
          <w:sz w:val="30"/>
          <w:szCs w:val="30"/>
        </w:rPr>
        <w:t>附件4：投标响应对照表（格式）</w:t>
      </w:r>
    </w:p>
    <w:p>
      <w:pPr>
        <w:ind w:left="227"/>
        <w:outlineLvl w:val="0"/>
        <w:rPr>
          <w:rFonts w:ascii="仿宋_GB2312" w:eastAsia="仿宋_GB2312"/>
          <w:bCs/>
          <w:sz w:val="30"/>
          <w:szCs w:val="30"/>
        </w:rPr>
      </w:pPr>
    </w:p>
    <w:p>
      <w:pPr>
        <w:ind w:firstLine="301" w:firstLineChars="100"/>
        <w:outlineLvl w:val="0"/>
        <w:rPr>
          <w:rFonts w:ascii="仿宋_GB2312" w:eastAsia="仿宋_GB2312"/>
          <w:b/>
          <w:bCs/>
          <w:sz w:val="30"/>
          <w:szCs w:val="30"/>
        </w:rPr>
      </w:pPr>
    </w:p>
    <w:p>
      <w:pPr>
        <w:ind w:firstLine="301" w:firstLineChars="100"/>
        <w:outlineLvl w:val="0"/>
        <w:rPr>
          <w:rFonts w:ascii="仿宋_GB2312" w:eastAsia="仿宋_GB2312"/>
          <w:b/>
          <w:bCs/>
          <w:sz w:val="30"/>
          <w:szCs w:val="30"/>
        </w:rPr>
      </w:pPr>
    </w:p>
    <w:p>
      <w:pPr>
        <w:ind w:firstLine="301" w:firstLineChars="100"/>
        <w:outlineLvl w:val="0"/>
        <w:rPr>
          <w:rFonts w:ascii="仿宋_GB2312" w:eastAsia="仿宋_GB2312"/>
          <w:b/>
          <w:bCs/>
          <w:sz w:val="30"/>
          <w:szCs w:val="30"/>
        </w:rPr>
      </w:pP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苏州市财政局联系人：宁夏阳，联系电话：</w:t>
      </w:r>
      <w:r>
        <w:rPr>
          <w:rFonts w:hint="eastAsia" w:ascii="仿宋_GB2312" w:hAnsi="仿宋_GB2312" w:eastAsia="仿宋_GB2312" w:cs="仿宋_GB2312"/>
          <w:sz w:val="30"/>
          <w:szCs w:val="30"/>
        </w:rPr>
        <w:t>0512-</w:t>
      </w:r>
      <w:r>
        <w:rPr>
          <w:rFonts w:hint="eastAsia" w:ascii="仿宋_GB2312" w:hAnsi="仿宋_GB2312" w:eastAsia="仿宋_GB2312" w:cs="仿宋_GB2312"/>
          <w:bCs/>
          <w:sz w:val="30"/>
          <w:szCs w:val="30"/>
        </w:rPr>
        <w:t>686167</w:t>
      </w:r>
      <w:r>
        <w:rPr>
          <w:rFonts w:ascii="仿宋_GB2312" w:hAnsi="仿宋_GB2312" w:eastAsia="仿宋_GB2312" w:cs="仿宋_GB2312"/>
          <w:bCs/>
          <w:sz w:val="30"/>
          <w:szCs w:val="30"/>
        </w:rPr>
        <w:t>13</w:t>
      </w:r>
      <w:r>
        <w:rPr>
          <w:rFonts w:hint="eastAsia" w:ascii="仿宋_GB2312" w:hAnsi="仿宋_GB2312" w:eastAsia="仿宋_GB2312" w:cs="仿宋_GB2312"/>
          <w:bCs/>
          <w:sz w:val="30"/>
          <w:szCs w:val="30"/>
        </w:rPr>
        <w:t>。</w:t>
      </w:r>
    </w:p>
    <w:p>
      <w:pPr>
        <w:ind w:firstLine="60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中国人民银行苏州市分行联系人：沈亮，联系电话：0512-68250631。</w:t>
      </w:r>
    </w:p>
    <w:p>
      <w:pPr>
        <w:outlineLvl w:val="0"/>
        <w:rPr>
          <w:rFonts w:ascii="仿宋_GB2312" w:eastAsia="仿宋_GB2312"/>
          <w:b/>
          <w:bCs/>
          <w:sz w:val="30"/>
          <w:szCs w:val="30"/>
        </w:rPr>
      </w:pP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 xml:space="preserve">本文件信息若有变更将另行通知，请投标人关注。 </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sectPr>
          <w:pgSz w:w="11906" w:h="16838"/>
          <w:pgMar w:top="873" w:right="1021" w:bottom="873" w:left="1021" w:header="851" w:footer="454" w:gutter="0"/>
          <w:cols w:space="720" w:num="1"/>
          <w:docGrid w:type="lines" w:linePitch="312" w:charSpace="0"/>
        </w:sectPr>
      </w:pPr>
    </w:p>
    <w:p>
      <w:pPr>
        <w:jc w:val="center"/>
        <w:rPr>
          <w:rFonts w:ascii="黑体" w:hAnsi="黑体" w:eastAsia="黑体"/>
          <w:sz w:val="30"/>
          <w:szCs w:val="30"/>
        </w:rPr>
        <w:sectPr>
          <w:footerReference r:id="rId4" w:type="default"/>
          <w:type w:val="continuous"/>
          <w:pgSz w:w="11906" w:h="16838"/>
          <w:pgMar w:top="873" w:right="1021" w:bottom="873" w:left="1021" w:header="851" w:footer="454" w:gutter="0"/>
          <w:pgNumType w:start="1"/>
          <w:cols w:space="720" w:num="1"/>
          <w:docGrid w:type="lines" w:linePitch="312" w:charSpace="0"/>
        </w:sectPr>
      </w:pPr>
    </w:p>
    <w:p>
      <w:pPr>
        <w:jc w:val="center"/>
        <w:rPr>
          <w:rFonts w:ascii="黑体" w:hAnsi="黑体" w:eastAsia="黑体"/>
          <w:sz w:val="30"/>
          <w:szCs w:val="30"/>
        </w:rPr>
      </w:pPr>
    </w:p>
    <w:p>
      <w:pPr>
        <w:ind w:firstLine="3900" w:firstLineChars="1300"/>
        <w:rPr>
          <w:rFonts w:ascii="黑体" w:hAnsi="黑体" w:eastAsia="黑体"/>
          <w:sz w:val="30"/>
          <w:szCs w:val="30"/>
        </w:rPr>
      </w:pPr>
      <w:r>
        <w:rPr>
          <w:rFonts w:hint="eastAsia" w:ascii="黑体" w:hAnsi="黑体" w:eastAsia="黑体"/>
          <w:sz w:val="30"/>
          <w:szCs w:val="30"/>
        </w:rPr>
        <w:t>第一章  招标公告</w:t>
      </w:r>
    </w:p>
    <w:p>
      <w:pPr>
        <w:ind w:firstLine="600" w:firstLineChars="200"/>
        <w:rPr>
          <w:rFonts w:ascii="仿宋_GB2312" w:eastAsia="仿宋_GB2312"/>
          <w:sz w:val="30"/>
          <w:szCs w:val="30"/>
        </w:rPr>
      </w:pPr>
      <w:r>
        <w:rPr>
          <w:rFonts w:hint="eastAsia" w:ascii="仿宋_GB2312" w:eastAsia="仿宋_GB2312"/>
          <w:sz w:val="30"/>
          <w:szCs w:val="30"/>
        </w:rPr>
        <w:t>根据《苏州市市级国库现金管理试点实施细则》（苏财库〔2025〕4号文印发）等相关规定，决定对苏州市市级国库现金管理商业银行定期存款项目进行招标，现将有关事项公告如下：</w:t>
      </w:r>
    </w:p>
    <w:p>
      <w:pPr>
        <w:ind w:firstLine="600" w:firstLineChars="200"/>
        <w:rPr>
          <w:rFonts w:ascii="黑体" w:hAnsi="黑体" w:eastAsia="黑体"/>
          <w:bCs/>
          <w:sz w:val="30"/>
          <w:szCs w:val="30"/>
        </w:rPr>
      </w:pPr>
      <w:r>
        <w:rPr>
          <w:rFonts w:hint="eastAsia" w:ascii="黑体" w:hAnsi="黑体" w:eastAsia="黑体"/>
          <w:bCs/>
          <w:sz w:val="30"/>
          <w:szCs w:val="30"/>
        </w:rPr>
        <w:t>一、招标项目概况</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sz w:val="30"/>
          <w:szCs w:val="30"/>
        </w:rPr>
        <w:t>1.项目名称</w:t>
      </w:r>
      <w:r>
        <w:rPr>
          <w:rFonts w:hint="eastAsia" w:ascii="仿宋_GB2312" w:hAnsi="仿宋_GB2312" w:eastAsia="仿宋_GB2312" w:cs="仿宋_GB2312"/>
          <w:bCs/>
          <w:sz w:val="30"/>
          <w:szCs w:val="30"/>
        </w:rPr>
        <w:t>：</w:t>
      </w:r>
      <w:r>
        <w:rPr>
          <w:rFonts w:hint="eastAsia" w:ascii="仿宋_GB2312" w:eastAsia="仿宋_GB2312"/>
          <w:sz w:val="30"/>
          <w:szCs w:val="30"/>
        </w:rPr>
        <w:t>苏州市市级</w:t>
      </w:r>
      <w:r>
        <w:rPr>
          <w:rFonts w:hint="eastAsia" w:ascii="仿宋_GB2312" w:hAnsi="仿宋_GB2312" w:eastAsia="仿宋_GB2312" w:cs="仿宋_GB2312"/>
          <w:bCs/>
          <w:sz w:val="30"/>
          <w:szCs w:val="30"/>
        </w:rPr>
        <w:t>国库现金管理商业银行定期存款项目（2025年第3期，总第3期）。</w:t>
      </w:r>
    </w:p>
    <w:p>
      <w:pPr>
        <w:ind w:firstLine="609" w:firstLineChars="203"/>
        <w:rPr>
          <w:rFonts w:ascii="仿宋_GB2312" w:hAnsi="仿宋_GB2312" w:eastAsia="仿宋_GB2312" w:cs="仿宋_GB2312"/>
          <w:sz w:val="30"/>
          <w:szCs w:val="30"/>
        </w:rPr>
      </w:pPr>
      <w:r>
        <w:rPr>
          <w:rFonts w:hint="eastAsia" w:ascii="仿宋_GB2312" w:hAnsi="仿宋_GB2312" w:eastAsia="仿宋_GB2312" w:cs="仿宋_GB2312"/>
          <w:sz w:val="30"/>
          <w:szCs w:val="30"/>
        </w:rPr>
        <w:t>2.项目金额及要求：</w:t>
      </w:r>
    </w:p>
    <w:p>
      <w:pPr>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（1）项目</w:t>
      </w:r>
      <w:r>
        <w:rPr>
          <w:rFonts w:hint="eastAsia" w:ascii="仿宋_GB2312" w:hAnsi="仿宋_GB2312" w:eastAsia="仿宋_GB2312" w:cs="仿宋_GB2312"/>
          <w:bCs/>
          <w:sz w:val="30"/>
          <w:szCs w:val="30"/>
        </w:rPr>
        <w:t>金额为100</w:t>
      </w:r>
      <w:r>
        <w:rPr>
          <w:rFonts w:hint="eastAsia" w:ascii="仿宋_GB2312" w:hAnsi="仿宋_GB2312" w:eastAsia="仿宋_GB2312" w:cs="仿宋_GB2312"/>
          <w:kern w:val="0"/>
          <w:sz w:val="30"/>
          <w:szCs w:val="30"/>
        </w:rPr>
        <w:t>亿元人民币，存放期限为6个月，起息日为2025年</w:t>
      </w:r>
      <w:r>
        <w:rPr>
          <w:rFonts w:ascii="仿宋_GB2312" w:hAnsi="仿宋_GB2312" w:eastAsia="仿宋_GB2312" w:cs="仿宋_GB2312"/>
          <w:kern w:val="0"/>
          <w:sz w:val="30"/>
          <w:szCs w:val="30"/>
        </w:rPr>
        <w:t>9</w:t>
      </w:r>
      <w:r>
        <w:rPr>
          <w:rFonts w:hint="eastAsia" w:ascii="仿宋_GB2312" w:hAnsi="仿宋_GB2312" w:eastAsia="仿宋_GB2312" w:cs="仿宋_GB2312"/>
          <w:kern w:val="0"/>
          <w:sz w:val="30"/>
          <w:szCs w:val="30"/>
        </w:rPr>
        <w:t>月30日，到期日为2026年3月30日；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（2）根据各合格投标人最终评审得分确定中标银行及其中标金额和中标利率，中标金额四舍五入保留到千万元；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（3）各中标银行不得将中标金额再次分包和转包。</w:t>
      </w:r>
    </w:p>
    <w:p>
      <w:pPr>
        <w:ind w:firstLine="600" w:firstLineChars="200"/>
        <w:rPr>
          <w:rFonts w:ascii="黑体" w:hAnsi="黑体" w:eastAsia="黑体"/>
          <w:kern w:val="0"/>
          <w:sz w:val="30"/>
          <w:szCs w:val="30"/>
        </w:rPr>
      </w:pPr>
      <w:r>
        <w:rPr>
          <w:rFonts w:hint="eastAsia" w:ascii="黑体" w:hAnsi="黑体" w:eastAsia="黑体"/>
          <w:kern w:val="0"/>
          <w:sz w:val="30"/>
          <w:szCs w:val="30"/>
        </w:rPr>
        <w:t>二、投标人条件</w:t>
      </w:r>
    </w:p>
    <w:p>
      <w:pPr>
        <w:ind w:firstLine="600" w:firstLineChars="200"/>
        <w:rPr>
          <w:rFonts w:ascii="仿宋_GB2312" w:eastAsia="仿宋_GB2312"/>
          <w:sz w:val="30"/>
          <w:szCs w:val="30"/>
        </w:rPr>
      </w:pPr>
      <w:r>
        <w:rPr>
          <w:rFonts w:hint="eastAsia" w:ascii="仿宋_GB2312" w:eastAsia="仿宋_GB2312"/>
          <w:sz w:val="30"/>
          <w:szCs w:val="30"/>
        </w:rPr>
        <w:t>1.参加苏州市市级国库现金管理的商业银行为依照《中华人民共和国商业银行法》设立的各国有商业银行、股份制商业银行、城市商业银行、农村商业银行、邮政储蓄银行等银行在苏州总行或分行（以下简称商业银行）；</w:t>
      </w:r>
    </w:p>
    <w:p>
      <w:pPr>
        <w:ind w:firstLine="600" w:firstLineChars="200"/>
        <w:rPr>
          <w:rFonts w:ascii="仿宋_GB2312"/>
          <w:bCs/>
          <w:color w:val="FF0000"/>
          <w:sz w:val="30"/>
          <w:szCs w:val="30"/>
        </w:rPr>
      </w:pPr>
      <w:r>
        <w:rPr>
          <w:rFonts w:hint="eastAsia" w:ascii="仿宋_GB2312" w:hAnsi="仿宋" w:eastAsia="仿宋_GB2312" w:cs="宋体"/>
          <w:kern w:val="0"/>
          <w:sz w:val="30"/>
          <w:szCs w:val="30"/>
        </w:rPr>
        <w:t>2.依法开展经营活动，近3年内在经营活动中无重大违法违规记录，信誉良好；</w:t>
      </w:r>
      <w:r>
        <w:rPr>
          <w:rFonts w:hint="eastAsia" w:ascii="仿宋_GB2312" w:hAnsi="仿宋" w:eastAsia="仿宋_GB2312" w:cs="宋体"/>
          <w:kern w:val="0"/>
          <w:sz w:val="30"/>
          <w:szCs w:val="30"/>
        </w:rPr>
        <w:br/>
      </w:r>
      <w:r>
        <w:rPr>
          <w:rFonts w:hint="eastAsia" w:ascii="仿宋_GB2312" w:hAnsi="仿宋" w:eastAsia="仿宋_GB2312" w:cs="宋体"/>
          <w:kern w:val="0"/>
          <w:sz w:val="30"/>
          <w:szCs w:val="30"/>
        </w:rPr>
        <w:t xml:space="preserve">    3.财务稳健，资本充足率、不良贷款率、流动性比例等指标达到监管标准</w:t>
      </w:r>
      <w:r>
        <w:rPr>
          <w:rFonts w:hint="eastAsia" w:ascii="仿宋_GB2312" w:eastAsia="仿宋_GB2312"/>
          <w:bCs/>
          <w:sz w:val="30"/>
          <w:szCs w:val="30"/>
        </w:rPr>
        <w:t>，未在投标截止日前按规定提供202</w:t>
      </w:r>
      <w:r>
        <w:rPr>
          <w:rFonts w:ascii="仿宋_GB2312" w:eastAsia="仿宋_GB2312"/>
          <w:bCs/>
          <w:sz w:val="30"/>
          <w:szCs w:val="30"/>
        </w:rPr>
        <w:t>5</w:t>
      </w:r>
      <w:r>
        <w:rPr>
          <w:rFonts w:hint="eastAsia" w:ascii="仿宋_GB2312" w:eastAsia="仿宋_GB2312"/>
          <w:bCs/>
          <w:sz w:val="30"/>
          <w:szCs w:val="30"/>
        </w:rPr>
        <w:t>年</w:t>
      </w:r>
      <w:r>
        <w:rPr>
          <w:rFonts w:hint="eastAsia" w:ascii="Calibri" w:hAnsi="Calibri" w:eastAsia="仿宋_GB2312"/>
          <w:bCs/>
          <w:sz w:val="30"/>
          <w:szCs w:val="30"/>
        </w:rPr>
        <w:t>半</w:t>
      </w:r>
      <w:r>
        <w:rPr>
          <w:rFonts w:hint="eastAsia" w:ascii="仿宋_GB2312" w:eastAsia="仿宋_GB2312"/>
          <w:bCs/>
          <w:sz w:val="30"/>
          <w:szCs w:val="30"/>
        </w:rPr>
        <w:t>年度报告的，不得参与苏州市市级国库现金管理招标；</w:t>
      </w:r>
      <w:r>
        <w:rPr>
          <w:rFonts w:hint="eastAsia" w:ascii="仿宋_GB2312" w:hAnsi="仿宋" w:eastAsia="仿宋_GB2312" w:cs="宋体"/>
          <w:kern w:val="0"/>
          <w:sz w:val="30"/>
          <w:szCs w:val="30"/>
        </w:rPr>
        <w:br/>
      </w:r>
      <w:r>
        <w:rPr>
          <w:rFonts w:hint="eastAsia" w:ascii="仿宋_GB2312" w:hAnsi="仿宋" w:eastAsia="仿宋_GB2312" w:cs="宋体"/>
          <w:kern w:val="0"/>
          <w:sz w:val="30"/>
          <w:szCs w:val="30"/>
        </w:rPr>
        <w:t xml:space="preserve">    4.内部管理机制健全，具有较强的风险控制能力，近3年内未发生金融风险及重大违约事件；</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5.单家银行投标金额不超过本期国库现金操作总额度的25%；</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6.单家银行的国库定期存款余额（含本期实际中标金额）不超过该银行一般性存款余额的10%，不超过国库定期存款余额（含本期实际中标金额）的20%；</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7.法律、行政法规规定的其他条件。</w:t>
      </w:r>
    </w:p>
    <w:p>
      <w:pPr>
        <w:ind w:firstLine="600" w:firstLineChars="200"/>
        <w:rPr>
          <w:rFonts w:ascii="黑体" w:hAnsi="黑体" w:eastAsia="黑体"/>
          <w:kern w:val="0"/>
          <w:sz w:val="30"/>
          <w:szCs w:val="30"/>
        </w:rPr>
      </w:pPr>
      <w:r>
        <w:rPr>
          <w:rFonts w:hint="eastAsia" w:ascii="黑体" w:hAnsi="黑体" w:eastAsia="黑体"/>
          <w:kern w:val="0"/>
          <w:sz w:val="30"/>
          <w:szCs w:val="30"/>
        </w:rPr>
        <w:t>三、招标文件信息发布</w:t>
      </w:r>
    </w:p>
    <w:p>
      <w:pPr>
        <w:spacing w:line="600" w:lineRule="exact"/>
        <w:ind w:firstLine="600" w:firstLineChars="200"/>
        <w:rPr>
          <w:rFonts w:ascii="仿宋_GB2312" w:hAnsi="宋体" w:eastAsia="仿宋_GB2312" w:cs="Arial"/>
          <w:sz w:val="30"/>
          <w:szCs w:val="30"/>
        </w:rPr>
      </w:pPr>
      <w:r>
        <w:rPr>
          <w:rFonts w:hint="eastAsia" w:ascii="仿宋_GB2312" w:hAnsi="宋体" w:eastAsia="仿宋_GB2312" w:cs="Arial"/>
          <w:sz w:val="30"/>
          <w:szCs w:val="30"/>
        </w:rPr>
        <w:t>招标公告（含招标文件）在“苏州市财政局网站”和“人民银行江苏省分行网站”公布。有意愿参加投标者，请及时从上述网站下载招标文件，并按文件要求填报相关资料。如未按上述要求执行，自行承担所产生的风险。有关本次招标的事项若存在变动或修改，请及时关注网站发布的更正公告。</w:t>
      </w:r>
    </w:p>
    <w:p>
      <w:pPr>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四、投标文件递交</w:t>
      </w:r>
    </w:p>
    <w:p>
      <w:pPr>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投标时间：2025年9月29日9:30以前通</w:t>
      </w:r>
      <w:r>
        <w:rPr>
          <w:rFonts w:hint="eastAsia" w:ascii="仿宋_GB2312" w:hAnsi="仿宋_GB2312" w:eastAsia="仿宋_GB2312" w:cs="仿宋_GB2312"/>
          <w:bCs/>
          <w:sz w:val="30"/>
          <w:szCs w:val="30"/>
        </w:rPr>
        <w:t>过“财政资金存放网上招标系统”完成在线投标，逾期或不符合规定的投标文件恕不接受。</w:t>
      </w:r>
    </w:p>
    <w:p>
      <w:pPr>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五、开标时间及方式</w:t>
      </w:r>
    </w:p>
    <w:p>
      <w:pPr>
        <w:adjustRightInd w:val="0"/>
        <w:snapToGri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1.开标时间：2025年9月29日上午9:30。</w:t>
      </w:r>
    </w:p>
    <w:p>
      <w:pPr>
        <w:adjustRightInd w:val="0"/>
        <w:snapToGri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2.开标方式：在线开标。</w:t>
      </w:r>
    </w:p>
    <w:p>
      <w:pPr>
        <w:ind w:firstLine="600"/>
        <w:rPr>
          <w:rFonts w:ascii="黑体" w:hAnsi="黑体" w:eastAsia="黑体"/>
          <w:kern w:val="0"/>
          <w:sz w:val="30"/>
          <w:szCs w:val="30"/>
        </w:rPr>
      </w:pPr>
      <w:r>
        <w:rPr>
          <w:rFonts w:hint="eastAsia" w:ascii="黑体" w:hAnsi="黑体" w:eastAsia="黑体"/>
          <w:kern w:val="0"/>
          <w:sz w:val="30"/>
          <w:szCs w:val="30"/>
        </w:rPr>
        <w:t>六、中标信息发布</w:t>
      </w:r>
    </w:p>
    <w:p>
      <w:pPr>
        <w:ind w:firstLine="600"/>
        <w:rPr>
          <w:rFonts w:ascii="仿宋_GB2312" w:eastAsia="仿宋_GB2312"/>
          <w:kern w:val="0"/>
          <w:sz w:val="30"/>
          <w:szCs w:val="30"/>
        </w:rPr>
      </w:pPr>
      <w:r>
        <w:rPr>
          <w:rFonts w:hint="eastAsia" w:ascii="仿宋_GB2312" w:eastAsia="仿宋_GB2312"/>
          <w:kern w:val="0"/>
          <w:sz w:val="30"/>
          <w:szCs w:val="30"/>
        </w:rPr>
        <w:t>中标公告</w:t>
      </w:r>
      <w:r>
        <w:rPr>
          <w:rFonts w:hint="eastAsia" w:ascii="仿宋_GB2312" w:hAnsi="宋体" w:eastAsia="仿宋_GB2312" w:cs="Arial"/>
          <w:sz w:val="30"/>
          <w:szCs w:val="30"/>
        </w:rPr>
        <w:t>在“苏州市财政局网站”和“人民银行江苏省分行网站”发布，告知中标银行</w:t>
      </w:r>
      <w:r>
        <w:rPr>
          <w:rFonts w:hint="eastAsia" w:ascii="仿宋_GB2312" w:eastAsia="仿宋_GB2312"/>
          <w:kern w:val="0"/>
          <w:sz w:val="30"/>
          <w:szCs w:val="30"/>
        </w:rPr>
        <w:t>中标金额、利息及所需办理手续等相关事项。</w:t>
      </w:r>
    </w:p>
    <w:p>
      <w:pPr>
        <w:ind w:firstLine="600"/>
        <w:rPr>
          <w:rFonts w:ascii="仿宋_GB2312" w:eastAsia="仿宋_GB2312"/>
          <w:kern w:val="0"/>
          <w:sz w:val="30"/>
          <w:szCs w:val="30"/>
        </w:rPr>
      </w:pPr>
      <w:r>
        <w:rPr>
          <w:rFonts w:hint="eastAsia" w:ascii="仿宋_GB2312" w:eastAsia="仿宋_GB2312"/>
          <w:kern w:val="0"/>
          <w:sz w:val="30"/>
          <w:szCs w:val="30"/>
        </w:rPr>
        <w:t>上述安排如有变动，将另行告知。</w:t>
      </w:r>
    </w:p>
    <w:p>
      <w:pPr>
        <w:jc w:val="center"/>
        <w:rPr>
          <w:rFonts w:ascii="仿宋_GB2312" w:eastAsia="仿宋_GB2312"/>
          <w:sz w:val="30"/>
          <w:szCs w:val="30"/>
        </w:rPr>
      </w:pPr>
    </w:p>
    <w:p>
      <w:pPr>
        <w:jc w:val="center"/>
        <w:rPr>
          <w:rFonts w:ascii="黑体" w:hAnsi="黑体" w:eastAsia="黑体"/>
          <w:sz w:val="30"/>
          <w:szCs w:val="30"/>
        </w:rPr>
      </w:pPr>
      <w:r>
        <w:rPr>
          <w:rFonts w:hint="eastAsia" w:ascii="黑体" w:hAnsi="黑体" w:eastAsia="黑体"/>
          <w:sz w:val="30"/>
          <w:szCs w:val="30"/>
        </w:rPr>
        <w:t>第二章  投标人须知</w:t>
      </w:r>
    </w:p>
    <w:p>
      <w:pPr>
        <w:ind w:firstLine="600" w:firstLineChars="200"/>
        <w:rPr>
          <w:rFonts w:ascii="黑体" w:hAnsi="黑体" w:eastAsia="黑体"/>
          <w:bCs/>
          <w:sz w:val="30"/>
          <w:szCs w:val="30"/>
        </w:rPr>
      </w:pPr>
      <w:r>
        <w:rPr>
          <w:rFonts w:hint="eastAsia" w:ascii="黑体" w:hAnsi="黑体" w:eastAsia="黑体"/>
          <w:bCs/>
          <w:sz w:val="30"/>
          <w:szCs w:val="30"/>
        </w:rPr>
        <w:t>一、投标费用</w:t>
      </w:r>
    </w:p>
    <w:p>
      <w:pPr>
        <w:ind w:firstLine="600" w:firstLineChars="200"/>
        <w:rPr>
          <w:rFonts w:ascii="仿宋_GB2312" w:eastAsia="仿宋_GB2312"/>
          <w:bCs/>
          <w:sz w:val="30"/>
          <w:szCs w:val="30"/>
        </w:rPr>
      </w:pPr>
      <w:r>
        <w:rPr>
          <w:rFonts w:hint="eastAsia" w:ascii="仿宋_GB2312" w:eastAsia="仿宋_GB2312"/>
          <w:bCs/>
          <w:sz w:val="30"/>
          <w:szCs w:val="30"/>
        </w:rPr>
        <w:t>投标人应承担所有与编写和提交投标文件有关的费用，不论投标结果如何，招标人在任何情况下均无义务和责任承担这些费用。</w:t>
      </w:r>
    </w:p>
    <w:p>
      <w:pPr>
        <w:ind w:firstLine="600" w:firstLineChars="200"/>
        <w:rPr>
          <w:rFonts w:ascii="黑体" w:hAnsi="黑体" w:eastAsia="黑体"/>
          <w:bCs/>
          <w:sz w:val="30"/>
          <w:szCs w:val="30"/>
        </w:rPr>
      </w:pPr>
      <w:r>
        <w:rPr>
          <w:rFonts w:hint="eastAsia" w:ascii="黑体" w:hAnsi="黑体" w:eastAsia="黑体"/>
          <w:bCs/>
          <w:sz w:val="30"/>
          <w:szCs w:val="30"/>
        </w:rPr>
        <w:t>二、投标利率要求</w:t>
      </w:r>
    </w:p>
    <w:p>
      <w:pPr>
        <w:ind w:left="45" w:firstLine="600"/>
        <w:rPr>
          <w:rFonts w:ascii="仿宋_GB2312" w:eastAsia="仿宋_GB2312"/>
          <w:bCs/>
          <w:sz w:val="30"/>
          <w:szCs w:val="30"/>
        </w:rPr>
      </w:pPr>
      <w:r>
        <w:rPr>
          <w:rFonts w:hint="eastAsia" w:ascii="仿宋_GB2312" w:eastAsia="仿宋_GB2312"/>
          <w:bCs/>
          <w:sz w:val="30"/>
          <w:szCs w:val="30"/>
        </w:rPr>
        <w:t>投标利率应符合各级市场利率定价自律机制的相关自律决议。</w:t>
      </w:r>
    </w:p>
    <w:p>
      <w:pPr>
        <w:ind w:firstLine="600" w:firstLineChars="200"/>
        <w:rPr>
          <w:rFonts w:ascii="黑体" w:hAnsi="黑体" w:eastAsia="黑体"/>
          <w:bCs/>
          <w:sz w:val="30"/>
          <w:szCs w:val="30"/>
        </w:rPr>
      </w:pPr>
      <w:r>
        <w:rPr>
          <w:rFonts w:hint="eastAsia" w:ascii="黑体" w:hAnsi="黑体" w:eastAsia="黑体"/>
          <w:bCs/>
          <w:sz w:val="30"/>
          <w:szCs w:val="30"/>
        </w:rPr>
        <w:t>三、关于招标文件的提示</w:t>
      </w:r>
    </w:p>
    <w:p>
      <w:pPr>
        <w:ind w:left="45" w:firstLine="600"/>
        <w:rPr>
          <w:rFonts w:eastAsia="仿宋_GB2312"/>
        </w:rPr>
      </w:pPr>
      <w:r>
        <w:rPr>
          <w:rFonts w:hint="eastAsia" w:ascii="仿宋_GB2312" w:eastAsia="仿宋_GB2312"/>
          <w:bCs/>
          <w:sz w:val="30"/>
          <w:szCs w:val="30"/>
        </w:rPr>
        <w:t>1.投标人应认真阅读招标文件中所有的事项、格式、条款和规范要求。如果投标人没有按照招标文件要求提交全部资料，或者投标文件没有对招标文件在各方面作出实质性响应，投标将被否决，且该投标人本期将不视为投标银行，其风险由投标人自行承担。其中，实质性响应是指投标文件与招标文件要求的全部条款、条件和规格相符，没有重大偏离或保留。</w:t>
      </w:r>
    </w:p>
    <w:p>
      <w:pPr>
        <w:ind w:left="45"/>
        <w:rPr>
          <w:rFonts w:ascii="仿宋_GB2312" w:eastAsia="仿宋_GB2312"/>
          <w:bCs/>
          <w:sz w:val="30"/>
          <w:szCs w:val="30"/>
        </w:rPr>
      </w:pPr>
      <w:r>
        <w:rPr>
          <w:rFonts w:hint="eastAsia" w:ascii="仿宋_GB2312" w:eastAsia="仿宋_GB2312"/>
          <w:bCs/>
          <w:sz w:val="30"/>
          <w:szCs w:val="30"/>
        </w:rPr>
        <w:t xml:space="preserve">    2.在投标截止前，无论出于何种原因，招标人有权对招标文件进行修改。修改后的招标文件将及时通知所有投标人，并对其具有约束力。投标人应尽快进行确认。</w:t>
      </w:r>
    </w:p>
    <w:p>
      <w:pPr>
        <w:ind w:left="44" w:leftChars="21" w:firstLine="588" w:firstLineChars="196"/>
        <w:rPr>
          <w:rFonts w:ascii="黑体" w:hAnsi="黑体" w:eastAsia="黑体"/>
          <w:bCs/>
          <w:sz w:val="30"/>
          <w:szCs w:val="30"/>
        </w:rPr>
      </w:pPr>
      <w:r>
        <w:rPr>
          <w:rFonts w:hint="eastAsia" w:ascii="黑体" w:hAnsi="黑体" w:eastAsia="黑体"/>
          <w:bCs/>
          <w:sz w:val="30"/>
          <w:szCs w:val="30"/>
        </w:rPr>
        <w:t>四、投标文件要求</w:t>
      </w:r>
    </w:p>
    <w:p>
      <w:pPr>
        <w:ind w:left="44" w:leftChars="21" w:firstLine="600" w:firstLineChars="200"/>
        <w:rPr>
          <w:rFonts w:ascii="仿宋_GB2312" w:eastAsia="仿宋_GB2312"/>
          <w:bCs/>
          <w:sz w:val="30"/>
          <w:szCs w:val="30"/>
        </w:rPr>
      </w:pPr>
      <w:r>
        <w:rPr>
          <w:rFonts w:hint="eastAsia" w:ascii="仿宋_GB2312" w:eastAsia="仿宋_GB2312"/>
          <w:bCs/>
          <w:sz w:val="30"/>
          <w:szCs w:val="30"/>
        </w:rPr>
        <w:t>1.投标人编写的投标文件应且仅需包括以下内容，并按顺序排列：</w:t>
      </w:r>
    </w:p>
    <w:p>
      <w:pPr>
        <w:ind w:firstLine="600" w:firstLineChars="200"/>
        <w:rPr>
          <w:rFonts w:ascii="仿宋_GB2312" w:eastAsia="仿宋_GB2312"/>
          <w:bCs/>
          <w:sz w:val="30"/>
          <w:szCs w:val="30"/>
        </w:rPr>
      </w:pPr>
      <w:r>
        <w:rPr>
          <w:rFonts w:hint="eastAsia" w:ascii="仿宋_GB2312" w:eastAsia="仿宋_GB2312"/>
          <w:bCs/>
          <w:sz w:val="30"/>
          <w:szCs w:val="30"/>
        </w:rPr>
        <w:t>（1）投标函（格式见附件1）；</w:t>
      </w:r>
    </w:p>
    <w:p>
      <w:pPr>
        <w:ind w:firstLine="600" w:firstLineChars="200"/>
        <w:rPr>
          <w:rFonts w:ascii="仿宋_GB2312" w:eastAsia="仿宋_GB2312"/>
          <w:bCs/>
          <w:sz w:val="30"/>
          <w:szCs w:val="30"/>
        </w:rPr>
      </w:pPr>
      <w:r>
        <w:rPr>
          <w:rFonts w:hint="eastAsia" w:ascii="仿宋_GB2312" w:eastAsia="仿宋_GB2312"/>
          <w:bCs/>
          <w:sz w:val="30"/>
          <w:szCs w:val="30"/>
        </w:rPr>
        <w:t>（2）投标一览表（格式见附件2）；</w:t>
      </w:r>
    </w:p>
    <w:p>
      <w:pPr>
        <w:ind w:firstLine="600" w:firstLineChars="200"/>
        <w:rPr>
          <w:rFonts w:ascii="仿宋_GB2312" w:eastAsia="仿宋_GB2312"/>
          <w:bCs/>
          <w:sz w:val="30"/>
          <w:szCs w:val="30"/>
        </w:rPr>
      </w:pPr>
      <w:r>
        <w:rPr>
          <w:rFonts w:hint="eastAsia" w:ascii="仿宋_GB2312" w:eastAsia="仿宋_GB2312"/>
          <w:bCs/>
          <w:sz w:val="30"/>
          <w:szCs w:val="30"/>
        </w:rPr>
        <w:t>（3）授权委托书（格式见附件3），被授权人身份证复印件；</w:t>
      </w:r>
    </w:p>
    <w:p>
      <w:pPr>
        <w:ind w:firstLine="600" w:firstLineChars="200"/>
        <w:rPr>
          <w:rFonts w:ascii="仿宋_GB2312" w:eastAsia="仿宋_GB2312"/>
          <w:bCs/>
          <w:sz w:val="30"/>
          <w:szCs w:val="30"/>
        </w:rPr>
      </w:pPr>
      <w:r>
        <w:rPr>
          <w:rFonts w:hint="eastAsia" w:ascii="仿宋_GB2312" w:eastAsia="仿宋_GB2312"/>
          <w:bCs/>
          <w:sz w:val="30"/>
          <w:szCs w:val="30"/>
        </w:rPr>
        <w:t>（4）投标响应对照表（格式见附件4）；</w:t>
      </w:r>
    </w:p>
    <w:p>
      <w:pPr>
        <w:ind w:firstLine="600" w:firstLineChars="200"/>
        <w:rPr>
          <w:rFonts w:eastAsia="仿宋_GB2312"/>
          <w:bCs/>
          <w:sz w:val="30"/>
          <w:szCs w:val="30"/>
        </w:rPr>
      </w:pPr>
      <w:r>
        <w:rPr>
          <w:rFonts w:hint="eastAsia" w:ascii="仿宋_GB2312" w:eastAsia="仿宋_GB2312"/>
          <w:bCs/>
          <w:sz w:val="30"/>
          <w:szCs w:val="30"/>
        </w:rPr>
        <w:t>（5）投标指标所涉及的材料相关页复印件，如财务报告、</w:t>
      </w:r>
      <w:r>
        <w:rPr>
          <w:rFonts w:hint="eastAsia" w:eastAsia="仿宋_GB2312"/>
          <w:bCs/>
          <w:sz w:val="30"/>
          <w:szCs w:val="30"/>
        </w:rPr>
        <w:t>报表、信息披露表等。</w:t>
      </w:r>
    </w:p>
    <w:p>
      <w:pPr>
        <w:ind w:left="45" w:firstLine="570"/>
        <w:rPr>
          <w:rFonts w:ascii="仿宋_GB2312" w:eastAsia="仿宋_GB2312"/>
          <w:bCs/>
          <w:sz w:val="30"/>
          <w:szCs w:val="30"/>
        </w:rPr>
      </w:pPr>
      <w:r>
        <w:rPr>
          <w:rFonts w:hint="eastAsia" w:ascii="仿宋_GB2312" w:eastAsia="仿宋_GB2312"/>
          <w:bCs/>
          <w:sz w:val="30"/>
          <w:szCs w:val="30"/>
        </w:rPr>
        <w:t>2.投标人必须保证投标文件所提供的全部资料真实可靠，并接受招标人的审查和核实要求。如果所提供资料有欺诈或严重失实情况，投标将被否决，且该投标人本期将不视为投标银行，并按照相关规定进行处理。</w:t>
      </w:r>
    </w:p>
    <w:p>
      <w:pPr>
        <w:ind w:firstLine="600" w:firstLineChars="200"/>
        <w:rPr>
          <w:rFonts w:ascii="仿宋_GB2312" w:eastAsia="仿宋_GB2312"/>
          <w:bCs/>
          <w:sz w:val="30"/>
          <w:szCs w:val="30"/>
        </w:rPr>
      </w:pPr>
      <w:r>
        <w:rPr>
          <w:rFonts w:hint="eastAsia" w:ascii="仿宋_GB2312" w:eastAsia="仿宋_GB2312"/>
          <w:bCs/>
          <w:sz w:val="30"/>
          <w:szCs w:val="30"/>
        </w:rPr>
        <w:t>3.投标人在投标截止日期以前，登录“财政资金存放网上招标系统”（http://ccgp-jiangsu.gov.cn/szxjzb/account/login）完成项目响应。</w:t>
      </w:r>
    </w:p>
    <w:p>
      <w:pPr>
        <w:ind w:left="44" w:leftChars="21" w:firstLine="600" w:firstLineChars="200"/>
        <w:rPr>
          <w:rFonts w:ascii="黑体" w:hAnsi="黑体" w:eastAsia="仿宋_GB2312"/>
          <w:bCs/>
          <w:sz w:val="30"/>
          <w:szCs w:val="30"/>
        </w:rPr>
      </w:pPr>
      <w:r>
        <w:rPr>
          <w:rFonts w:hint="eastAsia" w:ascii="仿宋_GB2312" w:eastAsia="仿宋_GB2312"/>
          <w:bCs/>
          <w:sz w:val="30"/>
          <w:szCs w:val="30"/>
        </w:rPr>
        <w:t>4．投标人应当在开标前登录系统，按系统开标流程及时进行解密操作，</w:t>
      </w:r>
      <w:r>
        <w:rPr>
          <w:rFonts w:hint="eastAsia" w:ascii="仿宋_GB2312" w:hAnsi="仿宋_GB2312" w:eastAsia="仿宋_GB2312" w:cs="仿宋_GB2312"/>
          <w:b/>
          <w:bCs/>
          <w:sz w:val="30"/>
          <w:szCs w:val="30"/>
        </w:rPr>
        <w:t>注意：未及时解密的，视为投标未成功。</w:t>
      </w:r>
    </w:p>
    <w:p>
      <w:pPr>
        <w:ind w:left="44" w:leftChars="21" w:firstLine="600" w:firstLineChars="200"/>
        <w:rPr>
          <w:rFonts w:ascii="黑体" w:hAnsi="黑体" w:eastAsia="黑体"/>
          <w:bCs/>
          <w:sz w:val="30"/>
          <w:szCs w:val="30"/>
        </w:rPr>
      </w:pPr>
      <w:r>
        <w:rPr>
          <w:rFonts w:hint="eastAsia" w:ascii="黑体" w:hAnsi="黑体" w:eastAsia="黑体"/>
          <w:bCs/>
          <w:sz w:val="30"/>
          <w:szCs w:val="30"/>
        </w:rPr>
        <w:t>五、开标与评标</w:t>
      </w:r>
    </w:p>
    <w:p>
      <w:pPr>
        <w:ind w:left="44" w:leftChars="21" w:firstLine="600" w:firstLineChars="200"/>
        <w:rPr>
          <w:rFonts w:ascii="仿宋_GB2312" w:eastAsia="仿宋_GB2312"/>
          <w:bCs/>
          <w:sz w:val="30"/>
          <w:szCs w:val="30"/>
        </w:rPr>
      </w:pPr>
      <w:r>
        <w:rPr>
          <w:rFonts w:hint="eastAsia" w:ascii="仿宋_GB2312" w:eastAsia="仿宋_GB2312"/>
          <w:bCs/>
          <w:sz w:val="30"/>
          <w:szCs w:val="30"/>
        </w:rPr>
        <w:t>1.招标小组将对每份投标文件的完整性、规范性及投标人的实质性响应情况等进行审核，并根据本招标文件载明的评标标准和方法打分。</w:t>
      </w:r>
    </w:p>
    <w:p>
      <w:pPr>
        <w:ind w:left="44" w:leftChars="21" w:firstLine="600" w:firstLineChars="200"/>
        <w:rPr>
          <w:rFonts w:ascii="仿宋_GB2312" w:eastAsia="仿宋_GB2312"/>
          <w:bCs/>
          <w:sz w:val="30"/>
          <w:szCs w:val="30"/>
        </w:rPr>
      </w:pPr>
      <w:r>
        <w:rPr>
          <w:rFonts w:hint="eastAsia" w:ascii="仿宋_GB2312" w:eastAsia="仿宋_GB2312"/>
          <w:bCs/>
          <w:sz w:val="30"/>
          <w:szCs w:val="30"/>
        </w:rPr>
        <w:t>2.招标人和招标小组均无义务向投标人进行任何有关评标的解释。</w:t>
      </w:r>
    </w:p>
    <w:p>
      <w:pPr>
        <w:ind w:left="44" w:leftChars="21" w:firstLine="600" w:firstLineChars="200"/>
        <w:rPr>
          <w:rFonts w:ascii="黑体" w:hAnsi="黑体" w:eastAsia="黑体"/>
          <w:bCs/>
          <w:sz w:val="30"/>
          <w:szCs w:val="30"/>
        </w:rPr>
      </w:pPr>
      <w:r>
        <w:rPr>
          <w:rFonts w:hint="eastAsia" w:ascii="黑体" w:hAnsi="黑体" w:eastAsia="黑体"/>
          <w:bCs/>
          <w:sz w:val="30"/>
          <w:szCs w:val="30"/>
        </w:rPr>
        <w:t>六、中标银行的要求</w:t>
      </w:r>
    </w:p>
    <w:p>
      <w:pPr>
        <w:ind w:left="44" w:leftChars="21" w:firstLine="600" w:firstLineChars="200"/>
        <w:rPr>
          <w:rFonts w:ascii="仿宋_GB2312" w:eastAsia="仿宋_GB2312"/>
          <w:kern w:val="0"/>
          <w:sz w:val="30"/>
          <w:szCs w:val="30"/>
        </w:rPr>
      </w:pPr>
      <w:r>
        <w:rPr>
          <w:rFonts w:hint="eastAsia" w:ascii="仿宋_GB2312" w:eastAsia="仿宋_GB2312"/>
          <w:kern w:val="0"/>
          <w:sz w:val="30"/>
          <w:szCs w:val="30"/>
        </w:rPr>
        <w:t>中标银行应按中标公告要求做到以下几点：</w:t>
      </w:r>
    </w:p>
    <w:p>
      <w:pPr>
        <w:ind w:left="44" w:leftChars="21" w:firstLine="600" w:firstLineChars="200"/>
        <w:rPr>
          <w:rFonts w:ascii="仿宋_GB2312" w:eastAsia="仿宋_GB2312"/>
          <w:bCs/>
          <w:sz w:val="30"/>
          <w:szCs w:val="30"/>
        </w:rPr>
      </w:pPr>
      <w:r>
        <w:rPr>
          <w:rFonts w:hint="eastAsia" w:ascii="仿宋_GB2312" w:eastAsia="仿宋_GB2312"/>
          <w:color w:val="000000"/>
          <w:kern w:val="0"/>
          <w:sz w:val="30"/>
          <w:szCs w:val="30"/>
        </w:rPr>
        <w:t>1.在规定时间内提供足额的质押品用于质押</w:t>
      </w:r>
      <w:r>
        <w:rPr>
          <w:rFonts w:hint="eastAsia" w:ascii="仿宋_GB2312" w:eastAsia="仿宋_GB2312"/>
          <w:bCs/>
          <w:sz w:val="30"/>
          <w:szCs w:val="30"/>
        </w:rPr>
        <w:t>；</w:t>
      </w:r>
      <w:r>
        <w:rPr>
          <w:rFonts w:hint="eastAsia" w:ascii="仿宋_GB2312" w:hAnsi="仿宋" w:eastAsia="仿宋_GB2312"/>
          <w:sz w:val="30"/>
          <w:szCs w:val="30"/>
        </w:rPr>
        <w:t>质押品应为可流通国债或地方政府债券，质押债券面值分别为中标金额的105%和115%。</w:t>
      </w:r>
    </w:p>
    <w:p>
      <w:pPr>
        <w:ind w:firstLine="600" w:firstLineChars="200"/>
        <w:rPr>
          <w:rFonts w:ascii="仿宋_GB2312" w:eastAsia="仿宋_GB2312"/>
          <w:sz w:val="30"/>
          <w:szCs w:val="30"/>
        </w:rPr>
      </w:pPr>
      <w:r>
        <w:rPr>
          <w:rFonts w:hint="eastAsia" w:ascii="仿宋_GB2312" w:eastAsia="仿宋_GB2312"/>
          <w:bCs/>
          <w:sz w:val="30"/>
          <w:szCs w:val="30"/>
        </w:rPr>
        <w:t>2.</w:t>
      </w:r>
      <w:r>
        <w:rPr>
          <w:rFonts w:hint="eastAsia" w:ascii="仿宋_GB2312" w:hAnsi="宋体" w:eastAsia="仿宋_GB2312"/>
          <w:sz w:val="30"/>
          <w:szCs w:val="30"/>
        </w:rPr>
        <w:t>按相关规定要求在“国库定期存款”一级负债类科目下设置“苏州市市级国库现金管理”账户，用于核算存入、归还的苏州市市级国库定期存款</w:t>
      </w:r>
      <w:r>
        <w:rPr>
          <w:rFonts w:hint="eastAsia" w:ascii="仿宋_GB2312" w:eastAsia="仿宋_GB2312"/>
          <w:sz w:val="30"/>
          <w:szCs w:val="30"/>
        </w:rPr>
        <w:t>。</w:t>
      </w:r>
    </w:p>
    <w:p>
      <w:pPr>
        <w:ind w:left="44" w:leftChars="21" w:firstLine="600" w:firstLineChars="200"/>
        <w:rPr>
          <w:rFonts w:ascii="仿宋_GB2312" w:eastAsia="仿宋_GB2312"/>
          <w:kern w:val="0"/>
          <w:sz w:val="30"/>
          <w:szCs w:val="30"/>
        </w:rPr>
      </w:pPr>
      <w:r>
        <w:rPr>
          <w:rFonts w:hint="eastAsia" w:ascii="仿宋_GB2312" w:eastAsia="仿宋_GB2312"/>
          <w:sz w:val="30"/>
          <w:szCs w:val="30"/>
        </w:rPr>
        <w:t>3.</w:t>
      </w:r>
      <w:r>
        <w:rPr>
          <w:rFonts w:hint="eastAsia" w:ascii="仿宋_GB2312" w:eastAsia="仿宋_GB2312"/>
          <w:kern w:val="0"/>
          <w:sz w:val="30"/>
          <w:szCs w:val="30"/>
        </w:rPr>
        <w:t>未做到中标公告相关要求的，将视为放弃中标，且不得参加下次投标。</w:t>
      </w:r>
    </w:p>
    <w:p>
      <w:pPr>
        <w:ind w:left="45"/>
        <w:jc w:val="center"/>
        <w:rPr>
          <w:rFonts w:ascii="黑体" w:hAnsi="黑体" w:eastAsia="黑体"/>
          <w:bCs/>
          <w:sz w:val="30"/>
          <w:szCs w:val="30"/>
        </w:rPr>
      </w:pPr>
    </w:p>
    <w:p>
      <w:pPr>
        <w:ind w:left="45"/>
        <w:jc w:val="center"/>
        <w:rPr>
          <w:rFonts w:ascii="黑体" w:hAnsi="黑体" w:eastAsia="黑体"/>
          <w:bCs/>
          <w:sz w:val="30"/>
          <w:szCs w:val="30"/>
        </w:rPr>
      </w:pPr>
      <w:r>
        <w:rPr>
          <w:rFonts w:hint="eastAsia" w:ascii="黑体" w:hAnsi="黑体" w:eastAsia="黑体"/>
          <w:bCs/>
          <w:sz w:val="30"/>
          <w:szCs w:val="30"/>
        </w:rPr>
        <w:t>第三章  评标标准和中标资金分配方法</w:t>
      </w:r>
    </w:p>
    <w:p>
      <w:pPr>
        <w:numPr>
          <w:ilvl w:val="0"/>
          <w:numId w:val="1"/>
        </w:numPr>
        <w:rPr>
          <w:rFonts w:ascii="黑体" w:hAnsi="黑体" w:eastAsia="黑体" w:cs="黑体"/>
          <w:bCs/>
          <w:sz w:val="30"/>
          <w:szCs w:val="30"/>
        </w:rPr>
      </w:pPr>
      <w:r>
        <w:rPr>
          <w:rFonts w:hint="eastAsia" w:ascii="黑体" w:hAnsi="黑体" w:eastAsia="黑体" w:cs="黑体"/>
          <w:bCs/>
          <w:sz w:val="30"/>
          <w:szCs w:val="30"/>
        </w:rPr>
        <w:t>综合评分</w:t>
      </w:r>
    </w:p>
    <w:p>
      <w:pPr>
        <w:ind w:firstLine="600" w:firstLineChars="200"/>
        <w:rPr>
          <w:rFonts w:ascii="仿宋_GB2312" w:hAnsi="宋体" w:eastAsia="仿宋_GB2312"/>
          <w:sz w:val="30"/>
          <w:szCs w:val="30"/>
        </w:rPr>
      </w:pPr>
      <w:r>
        <w:rPr>
          <w:rFonts w:hint="eastAsia" w:ascii="仿宋_GB2312" w:hAnsi="宋体" w:eastAsia="仿宋_GB2312"/>
          <w:sz w:val="30"/>
          <w:szCs w:val="30"/>
        </w:rPr>
        <w:t>根据《苏州市市级国库现金管理试点实施细则》（苏财库〔2025〕4号文印发）等相关规定，本期苏州市市级国库现金管理采用综合评分法评标，总分100分。各评价指标、权重设置及评分标准为：</w:t>
      </w:r>
    </w:p>
    <w:p>
      <w:pPr>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bCs/>
          <w:sz w:val="30"/>
          <w:szCs w:val="30"/>
        </w:rPr>
        <w:t>1.收益性指标40分。根据各投标银行投标利率水平计分。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kern w:val="0"/>
          <w:sz w:val="30"/>
          <w:szCs w:val="30"/>
          <w:lang w:val="zh-CN"/>
        </w:rPr>
        <w:t>2.</w:t>
      </w:r>
      <w:r>
        <w:rPr>
          <w:rFonts w:hint="eastAsia" w:ascii="仿宋_GB2312" w:hAnsi="仿宋_GB2312" w:eastAsia="仿宋_GB2312" w:cs="仿宋_GB2312"/>
          <w:bCs/>
          <w:sz w:val="30"/>
          <w:szCs w:val="30"/>
        </w:rPr>
        <w:t>安全性指标30分。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（1）核心一级资本充足率6分：按（5+该银行指标值/所有投标银行该指标最优值）计分；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（2）拨备覆盖率6分：按（5+该银行指标值/所有投标银行该指标最优值）计分；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（3）流动性比例6分：按（5+该银行指标值/所有投标银行该指标最优值）计分，若年报/半年报中未单列本外币口径的，则取人民币口径；</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（4）在苏州不良贷款率6分：按（5+所有投标银行该指标最优值/该银行指标值）计分；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（5）在苏州总资产6分：</w:t>
      </w:r>
    </w:p>
    <w:tbl>
      <w:tblPr>
        <w:tblStyle w:val="14"/>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0"/>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在苏州总</w:t>
            </w:r>
            <w:r>
              <w:rPr>
                <w:kern w:val="0"/>
                <w:sz w:val="22"/>
                <w:szCs w:val="22"/>
              </w:rPr>
              <w:t>资产</w:t>
            </w:r>
          </w:p>
        </w:tc>
        <w:tc>
          <w:tcPr>
            <w:tcW w:w="3250"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在苏州总</w:t>
            </w:r>
            <w:r>
              <w:rPr>
                <w:kern w:val="0"/>
                <w:sz w:val="22"/>
                <w:szCs w:val="22"/>
              </w:rPr>
              <w:t>资产≥</w:t>
            </w:r>
            <w:r>
              <w:rPr>
                <w:rFonts w:hint="eastAsia"/>
                <w:kern w:val="0"/>
                <w:sz w:val="22"/>
                <w:szCs w:val="22"/>
              </w:rPr>
              <w:t>3</w:t>
            </w:r>
            <w:r>
              <w:rPr>
                <w:kern w:val="0"/>
                <w:sz w:val="22"/>
                <w:szCs w:val="22"/>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1</w:t>
            </w:r>
            <w:r>
              <w:rPr>
                <w:kern w:val="0"/>
                <w:sz w:val="22"/>
                <w:szCs w:val="22"/>
              </w:rPr>
              <w:t>000亿 ≤</w:t>
            </w:r>
            <w:r>
              <w:rPr>
                <w:rFonts w:hint="eastAsia"/>
                <w:kern w:val="0"/>
                <w:sz w:val="22"/>
                <w:szCs w:val="22"/>
              </w:rPr>
              <w:t>在苏州总</w:t>
            </w:r>
            <w:r>
              <w:rPr>
                <w:kern w:val="0"/>
                <w:sz w:val="22"/>
                <w:szCs w:val="22"/>
              </w:rPr>
              <w:t>资产＜</w:t>
            </w:r>
            <w:r>
              <w:rPr>
                <w:rFonts w:hint="eastAsia"/>
                <w:kern w:val="0"/>
                <w:sz w:val="22"/>
                <w:szCs w:val="22"/>
              </w:rPr>
              <w:t>3</w:t>
            </w:r>
            <w:r>
              <w:rPr>
                <w:kern w:val="0"/>
                <w:sz w:val="22"/>
                <w:szCs w:val="22"/>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在苏州总</w:t>
            </w:r>
            <w:r>
              <w:rPr>
                <w:kern w:val="0"/>
                <w:sz w:val="22"/>
                <w:szCs w:val="22"/>
              </w:rPr>
              <w:t>资产＜</w:t>
            </w:r>
            <w:r>
              <w:rPr>
                <w:rFonts w:hint="eastAsia"/>
                <w:kern w:val="0"/>
                <w:sz w:val="22"/>
                <w:szCs w:val="22"/>
              </w:rPr>
              <w:t>1</w:t>
            </w:r>
            <w:r>
              <w:rPr>
                <w:kern w:val="0"/>
                <w:sz w:val="22"/>
                <w:szCs w:val="22"/>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rPr>
              <w:t>5</w:t>
            </w:r>
          </w:p>
        </w:tc>
      </w:tr>
    </w:tbl>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上述（1）至（3）指标由投标银行提供，以各商业银行总行法人机构2025年半年报数据为准，本外币口径。编制合并财务报表的商业银行，为合并口径。</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3.经营性指标20分。</w:t>
      </w:r>
    </w:p>
    <w:p>
      <w:pPr>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bCs/>
          <w:sz w:val="30"/>
          <w:szCs w:val="30"/>
        </w:rPr>
        <w:t>（1）在苏州金融服务两项收入10分：</w:t>
      </w:r>
      <w:r>
        <w:rPr>
          <w:rFonts w:hint="eastAsia" w:ascii="仿宋_GB2312" w:hAnsi="仿宋_GB2312" w:eastAsia="仿宋_GB2312" w:cs="仿宋_GB2312"/>
          <w:color w:val="000000"/>
          <w:kern w:val="0"/>
          <w:sz w:val="30"/>
          <w:szCs w:val="30"/>
        </w:rPr>
        <w:t>按（5+5*</w:t>
      </w:r>
      <w:r>
        <w:rPr>
          <w:rFonts w:hint="eastAsia" w:ascii="仿宋_GB2312" w:hAnsi="仿宋_GB2312" w:eastAsia="仿宋_GB2312" w:cs="仿宋_GB2312"/>
          <w:bCs/>
          <w:sz w:val="30"/>
          <w:szCs w:val="30"/>
        </w:rPr>
        <w:t>该银行指标值/所有投标银行该指标最优值</w:t>
      </w:r>
      <w:r>
        <w:rPr>
          <w:rFonts w:hint="eastAsia" w:ascii="仿宋_GB2312" w:hAnsi="仿宋_GB2312" w:eastAsia="仿宋_GB2312" w:cs="仿宋_GB2312"/>
          <w:color w:val="000000"/>
          <w:kern w:val="0"/>
          <w:sz w:val="30"/>
          <w:szCs w:val="30"/>
        </w:rPr>
        <w:t>）计分；</w:t>
      </w:r>
    </w:p>
    <w:p>
      <w:pPr>
        <w:ind w:firstLine="600" w:firstLineChars="200"/>
        <w:rPr>
          <w:rFonts w:ascii="仿宋_GB2312" w:hAnsi="仿宋_GB2312" w:cs="仿宋_GB2312"/>
          <w:bCs/>
          <w:sz w:val="30"/>
          <w:szCs w:val="30"/>
        </w:rPr>
      </w:pPr>
      <w:r>
        <w:rPr>
          <w:rFonts w:hint="eastAsia" w:ascii="仿宋_GB2312" w:hAnsi="仿宋_GB2312" w:eastAsia="仿宋_GB2312" w:cs="仿宋_GB2312"/>
          <w:bCs/>
          <w:kern w:val="0"/>
          <w:sz w:val="30"/>
          <w:szCs w:val="30"/>
        </w:rPr>
        <w:t>（2）在苏州纳税总额10分：</w:t>
      </w:r>
      <w:r>
        <w:rPr>
          <w:rFonts w:hint="eastAsia" w:ascii="仿宋_GB2312" w:hAnsi="仿宋_GB2312" w:eastAsia="仿宋_GB2312" w:cs="仿宋_GB2312"/>
          <w:bCs/>
          <w:sz w:val="30"/>
          <w:szCs w:val="30"/>
        </w:rPr>
        <w:t>2025年上半年该银行在苏州纳税总额，</w:t>
      </w:r>
      <w:r>
        <w:rPr>
          <w:rFonts w:hint="eastAsia" w:ascii="仿宋_GB2312" w:hAnsi="仿宋_GB2312" w:eastAsia="仿宋_GB2312" w:cs="仿宋_GB2312"/>
          <w:color w:val="000000"/>
          <w:kern w:val="0"/>
          <w:sz w:val="30"/>
          <w:szCs w:val="30"/>
        </w:rPr>
        <w:t>按（5+5*</w:t>
      </w:r>
      <w:r>
        <w:rPr>
          <w:rFonts w:hint="eastAsia" w:ascii="仿宋_GB2312" w:hAnsi="仿宋_GB2312" w:eastAsia="仿宋_GB2312" w:cs="仿宋_GB2312"/>
          <w:bCs/>
          <w:sz w:val="30"/>
          <w:szCs w:val="30"/>
        </w:rPr>
        <w:t>该银行指标值/所有投标银行该指标最高值</w:t>
      </w:r>
      <w:r>
        <w:rPr>
          <w:rFonts w:hint="eastAsia" w:ascii="仿宋_GB2312" w:hAnsi="仿宋_GB2312" w:eastAsia="仿宋_GB2312" w:cs="仿宋_GB2312"/>
          <w:color w:val="000000"/>
          <w:kern w:val="0"/>
          <w:sz w:val="30"/>
          <w:szCs w:val="30"/>
        </w:rPr>
        <w:t>）计分。</w:t>
      </w:r>
    </w:p>
    <w:p>
      <w:pPr>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4.服务性指标10分。</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根据一定期限内投标银行服务苏州市财政局和人民银行苏州市分行履职情况、履行合作协议情况及其他相关金融服务情况等评价计分。</w:t>
      </w:r>
    </w:p>
    <w:p>
      <w:pPr>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sz w:val="30"/>
          <w:szCs w:val="30"/>
        </w:rPr>
        <w:t>上述指标所涉及的“银行”或“商业银行”等仅限于参与本次投标的商业银行。</w:t>
      </w:r>
    </w:p>
    <w:p>
      <w:pPr>
        <w:ind w:left="45" w:firstLine="570"/>
        <w:rPr>
          <w:rFonts w:ascii="黑体" w:hAnsi="黑体" w:eastAsia="黑体" w:cs="黑体"/>
          <w:bCs/>
          <w:sz w:val="30"/>
          <w:szCs w:val="30"/>
        </w:rPr>
      </w:pPr>
      <w:r>
        <w:rPr>
          <w:rFonts w:hint="eastAsia" w:ascii="黑体" w:hAnsi="黑体" w:eastAsia="黑体" w:cs="黑体"/>
          <w:bCs/>
          <w:sz w:val="30"/>
          <w:szCs w:val="30"/>
        </w:rPr>
        <w:t>二、各银行中标金额</w:t>
      </w:r>
    </w:p>
    <w:p>
      <w:pPr>
        <w:adjustRightInd w:val="0"/>
        <w:spacing w:line="6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1.综合评分达到或超过80分的投标银行中标，采用“分段法”对中标银行计算配置基本存款和再分配存款额度。</w:t>
      </w:r>
    </w:p>
    <w:p>
      <w:pPr>
        <w:adjustRightInd w:val="0"/>
        <w:spacing w:line="600" w:lineRule="exact"/>
        <w:ind w:firstLine="600" w:firstLineChars="200"/>
        <w:rPr>
          <w:rFonts w:ascii="仿宋_GB2312" w:hAnsi="仿宋_GB2312" w:eastAsia="仿宋_GB2312" w:cs="仿宋_GB2312"/>
          <w:bCs/>
          <w:sz w:val="30"/>
          <w:szCs w:val="30"/>
        </w:rPr>
      </w:pPr>
    </w:p>
    <w:tbl>
      <w:tblPr>
        <w:tblStyle w:val="14"/>
        <w:tblW w:w="6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center"/>
              <w:rPr>
                <w:color w:val="auto"/>
                <w:kern w:val="0"/>
                <w:sz w:val="22"/>
                <w:szCs w:val="22"/>
              </w:rPr>
            </w:pPr>
            <w:r>
              <w:rPr>
                <w:color w:val="auto"/>
                <w:kern w:val="0"/>
                <w:sz w:val="22"/>
                <w:szCs w:val="22"/>
              </w:rPr>
              <w:t>得分</w:t>
            </w:r>
          </w:p>
        </w:tc>
        <w:tc>
          <w:tcPr>
            <w:tcW w:w="2700" w:type="dxa"/>
            <w:vAlign w:val="bottom"/>
          </w:tcPr>
          <w:p>
            <w:pPr>
              <w:widowControl/>
              <w:jc w:val="center"/>
              <w:rPr>
                <w:color w:val="auto"/>
                <w:kern w:val="0"/>
                <w:sz w:val="22"/>
                <w:szCs w:val="22"/>
              </w:rPr>
            </w:pPr>
            <w:r>
              <w:rPr>
                <w:color w:val="auto"/>
                <w:kern w:val="0"/>
                <w:sz w:val="22"/>
                <w:szCs w:val="22"/>
              </w:rPr>
              <w:t>基本存款额(亿元)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得分≥90</w:t>
            </w:r>
          </w:p>
        </w:tc>
        <w:tc>
          <w:tcPr>
            <w:tcW w:w="2700" w:type="dxa"/>
            <w:vAlign w:val="bottom"/>
          </w:tcPr>
          <w:p>
            <w:pPr>
              <w:widowControl/>
              <w:jc w:val="right"/>
              <w:rPr>
                <w:color w:val="auto"/>
                <w:kern w:val="0"/>
                <w:sz w:val="22"/>
                <w:szCs w:val="22"/>
              </w:rPr>
            </w:pPr>
            <w:r>
              <w:rPr>
                <w:rFonts w:hint="eastAsia"/>
                <w:color w:val="auto"/>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89</w:t>
            </w:r>
            <w:r>
              <w:rPr>
                <w:color w:val="auto"/>
                <w:kern w:val="0"/>
                <w:sz w:val="22"/>
                <w:szCs w:val="22"/>
              </w:rPr>
              <w:t>≤得分＜</w:t>
            </w:r>
            <w:r>
              <w:rPr>
                <w:rFonts w:hint="eastAsia"/>
                <w:color w:val="auto"/>
                <w:kern w:val="0"/>
                <w:sz w:val="22"/>
                <w:szCs w:val="22"/>
              </w:rPr>
              <w:t>90</w:t>
            </w:r>
          </w:p>
        </w:tc>
        <w:tc>
          <w:tcPr>
            <w:tcW w:w="2700" w:type="dxa"/>
            <w:vAlign w:val="bottom"/>
          </w:tcPr>
          <w:p>
            <w:pPr>
              <w:widowControl/>
              <w:jc w:val="right"/>
              <w:rPr>
                <w:color w:val="auto"/>
                <w:kern w:val="0"/>
                <w:sz w:val="22"/>
                <w:szCs w:val="22"/>
              </w:rPr>
            </w:pPr>
            <w:r>
              <w:rPr>
                <w:rFonts w:hint="eastAsia"/>
                <w:color w:val="auto"/>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88</w:t>
            </w:r>
            <w:r>
              <w:rPr>
                <w:color w:val="auto"/>
                <w:kern w:val="0"/>
                <w:sz w:val="22"/>
                <w:szCs w:val="22"/>
              </w:rPr>
              <w:t>≤得分＜</w:t>
            </w:r>
            <w:r>
              <w:rPr>
                <w:rFonts w:hint="eastAsia"/>
                <w:color w:val="auto"/>
                <w:kern w:val="0"/>
                <w:sz w:val="22"/>
                <w:szCs w:val="22"/>
              </w:rPr>
              <w:t>89</w:t>
            </w:r>
          </w:p>
        </w:tc>
        <w:tc>
          <w:tcPr>
            <w:tcW w:w="2700" w:type="dxa"/>
            <w:vAlign w:val="bottom"/>
          </w:tcPr>
          <w:p>
            <w:pPr>
              <w:widowControl/>
              <w:jc w:val="right"/>
              <w:rPr>
                <w:color w:val="auto"/>
                <w:kern w:val="0"/>
                <w:sz w:val="22"/>
                <w:szCs w:val="22"/>
              </w:rPr>
            </w:pPr>
            <w:r>
              <w:rPr>
                <w:rFonts w:hint="eastAsia"/>
                <w:color w:val="auto"/>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87</w:t>
            </w:r>
            <w:r>
              <w:rPr>
                <w:color w:val="auto"/>
                <w:kern w:val="0"/>
                <w:sz w:val="22"/>
                <w:szCs w:val="22"/>
              </w:rPr>
              <w:t>≤得分＜</w:t>
            </w:r>
            <w:r>
              <w:rPr>
                <w:rFonts w:hint="eastAsia"/>
                <w:color w:val="auto"/>
                <w:kern w:val="0"/>
                <w:sz w:val="22"/>
                <w:szCs w:val="22"/>
              </w:rPr>
              <w:t>88</w:t>
            </w:r>
          </w:p>
        </w:tc>
        <w:tc>
          <w:tcPr>
            <w:tcW w:w="2700" w:type="dxa"/>
            <w:vAlign w:val="bottom"/>
          </w:tcPr>
          <w:p>
            <w:pPr>
              <w:widowControl/>
              <w:jc w:val="right"/>
              <w:rPr>
                <w:color w:val="auto"/>
                <w:kern w:val="0"/>
                <w:sz w:val="22"/>
                <w:szCs w:val="22"/>
              </w:rPr>
            </w:pPr>
            <w:r>
              <w:rPr>
                <w:rFonts w:hint="eastAsia"/>
                <w:color w:val="auto"/>
                <w:kern w:val="0"/>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86</w:t>
            </w:r>
            <w:r>
              <w:rPr>
                <w:color w:val="auto"/>
                <w:kern w:val="0"/>
                <w:sz w:val="22"/>
                <w:szCs w:val="22"/>
              </w:rPr>
              <w:t>≤得分＜</w:t>
            </w:r>
            <w:r>
              <w:rPr>
                <w:rFonts w:hint="eastAsia"/>
                <w:color w:val="auto"/>
                <w:kern w:val="0"/>
                <w:sz w:val="22"/>
                <w:szCs w:val="22"/>
              </w:rPr>
              <w:t>87</w:t>
            </w:r>
          </w:p>
        </w:tc>
        <w:tc>
          <w:tcPr>
            <w:tcW w:w="2700" w:type="dxa"/>
            <w:vAlign w:val="bottom"/>
          </w:tcPr>
          <w:p>
            <w:pPr>
              <w:widowControl/>
              <w:jc w:val="right"/>
              <w:rPr>
                <w:color w:val="auto"/>
                <w:kern w:val="0"/>
                <w:sz w:val="22"/>
                <w:szCs w:val="22"/>
              </w:rPr>
            </w:pPr>
            <w:r>
              <w:rPr>
                <w:rFonts w:hint="eastAsia"/>
                <w:color w:val="auto"/>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85</w:t>
            </w:r>
            <w:r>
              <w:rPr>
                <w:color w:val="auto"/>
                <w:kern w:val="0"/>
                <w:sz w:val="22"/>
                <w:szCs w:val="22"/>
              </w:rPr>
              <w:t>≤得分＜</w:t>
            </w:r>
            <w:r>
              <w:rPr>
                <w:rFonts w:hint="eastAsia"/>
                <w:color w:val="auto"/>
                <w:kern w:val="0"/>
                <w:sz w:val="22"/>
                <w:szCs w:val="22"/>
              </w:rPr>
              <w:t>86</w:t>
            </w:r>
          </w:p>
        </w:tc>
        <w:tc>
          <w:tcPr>
            <w:tcW w:w="2700" w:type="dxa"/>
            <w:vAlign w:val="bottom"/>
          </w:tcPr>
          <w:p>
            <w:pPr>
              <w:widowControl/>
              <w:jc w:val="right"/>
              <w:rPr>
                <w:color w:val="auto"/>
                <w:kern w:val="0"/>
                <w:sz w:val="22"/>
                <w:szCs w:val="22"/>
              </w:rPr>
            </w:pPr>
            <w:r>
              <w:rPr>
                <w:rFonts w:hint="eastAsia"/>
                <w:color w:val="auto"/>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84</w:t>
            </w:r>
            <w:r>
              <w:rPr>
                <w:color w:val="auto"/>
                <w:kern w:val="0"/>
                <w:sz w:val="22"/>
                <w:szCs w:val="22"/>
              </w:rPr>
              <w:t>≤得分＜</w:t>
            </w:r>
            <w:r>
              <w:rPr>
                <w:rFonts w:hint="eastAsia"/>
                <w:color w:val="auto"/>
                <w:kern w:val="0"/>
                <w:sz w:val="22"/>
                <w:szCs w:val="22"/>
              </w:rPr>
              <w:t>85</w:t>
            </w:r>
          </w:p>
        </w:tc>
        <w:tc>
          <w:tcPr>
            <w:tcW w:w="2700" w:type="dxa"/>
            <w:vAlign w:val="bottom"/>
          </w:tcPr>
          <w:p>
            <w:pPr>
              <w:widowControl/>
              <w:jc w:val="right"/>
              <w:rPr>
                <w:color w:val="auto"/>
                <w:kern w:val="0"/>
                <w:sz w:val="22"/>
                <w:szCs w:val="22"/>
              </w:rPr>
            </w:pPr>
            <w:r>
              <w:rPr>
                <w:rFonts w:hint="eastAsia"/>
                <w:color w:val="auto"/>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83</w:t>
            </w:r>
            <w:r>
              <w:rPr>
                <w:color w:val="auto"/>
                <w:kern w:val="0"/>
                <w:sz w:val="22"/>
                <w:szCs w:val="22"/>
              </w:rPr>
              <w:t>≤得分＜</w:t>
            </w:r>
            <w:r>
              <w:rPr>
                <w:rFonts w:hint="eastAsia"/>
                <w:color w:val="auto"/>
                <w:kern w:val="0"/>
                <w:sz w:val="22"/>
                <w:szCs w:val="22"/>
              </w:rPr>
              <w:t>84</w:t>
            </w:r>
          </w:p>
        </w:tc>
        <w:tc>
          <w:tcPr>
            <w:tcW w:w="2700" w:type="dxa"/>
            <w:vAlign w:val="bottom"/>
          </w:tcPr>
          <w:p>
            <w:pPr>
              <w:widowControl/>
              <w:jc w:val="right"/>
              <w:rPr>
                <w:rFonts w:hint="eastAsia" w:eastAsia="宋体"/>
                <w:color w:val="auto"/>
                <w:kern w:val="0"/>
                <w:sz w:val="22"/>
                <w:szCs w:val="22"/>
                <w:lang w:eastAsia="zh-CN"/>
              </w:rPr>
            </w:pPr>
            <w:r>
              <w:rPr>
                <w:rFonts w:hint="eastAsia"/>
                <w:color w:val="auto"/>
                <w:kern w:val="0"/>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82</w:t>
            </w:r>
            <w:r>
              <w:rPr>
                <w:color w:val="auto"/>
                <w:kern w:val="0"/>
                <w:sz w:val="22"/>
                <w:szCs w:val="22"/>
              </w:rPr>
              <w:t>≤得分＜</w:t>
            </w:r>
            <w:r>
              <w:rPr>
                <w:rFonts w:hint="eastAsia"/>
                <w:color w:val="auto"/>
                <w:kern w:val="0"/>
                <w:sz w:val="22"/>
                <w:szCs w:val="22"/>
              </w:rPr>
              <w:t>83</w:t>
            </w:r>
          </w:p>
        </w:tc>
        <w:tc>
          <w:tcPr>
            <w:tcW w:w="2700" w:type="dxa"/>
            <w:vAlign w:val="bottom"/>
          </w:tcPr>
          <w:p>
            <w:pPr>
              <w:widowControl/>
              <w:jc w:val="right"/>
              <w:rPr>
                <w:rFonts w:hint="eastAsia" w:eastAsia="宋体"/>
                <w:color w:val="auto"/>
                <w:kern w:val="0"/>
                <w:sz w:val="22"/>
                <w:szCs w:val="22"/>
                <w:lang w:val="en-US" w:eastAsia="zh-CN"/>
              </w:rPr>
            </w:pPr>
            <w:r>
              <w:rPr>
                <w:rFonts w:hint="eastAsia"/>
                <w:color w:val="auto"/>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81</w:t>
            </w:r>
            <w:r>
              <w:rPr>
                <w:color w:val="auto"/>
                <w:kern w:val="0"/>
                <w:sz w:val="22"/>
                <w:szCs w:val="22"/>
              </w:rPr>
              <w:t>≤得分＜</w:t>
            </w:r>
            <w:r>
              <w:rPr>
                <w:rFonts w:hint="eastAsia"/>
                <w:color w:val="auto"/>
                <w:kern w:val="0"/>
                <w:sz w:val="22"/>
                <w:szCs w:val="22"/>
              </w:rPr>
              <w:t>82</w:t>
            </w:r>
          </w:p>
        </w:tc>
        <w:tc>
          <w:tcPr>
            <w:tcW w:w="2700" w:type="dxa"/>
            <w:vAlign w:val="bottom"/>
          </w:tcPr>
          <w:p>
            <w:pPr>
              <w:widowControl/>
              <w:jc w:val="right"/>
              <w:rPr>
                <w:rFonts w:hint="eastAsia" w:eastAsia="宋体"/>
                <w:color w:val="auto"/>
                <w:kern w:val="0"/>
                <w:sz w:val="22"/>
                <w:szCs w:val="22"/>
                <w:lang w:val="en-US" w:eastAsia="zh-CN"/>
              </w:rPr>
            </w:pPr>
            <w:r>
              <w:rPr>
                <w:rFonts w:hint="eastAsia"/>
                <w:color w:val="auto"/>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color w:val="auto"/>
                <w:kern w:val="0"/>
                <w:sz w:val="22"/>
                <w:szCs w:val="22"/>
              </w:rPr>
              <w:t>80</w:t>
            </w:r>
            <w:r>
              <w:rPr>
                <w:color w:val="auto"/>
                <w:kern w:val="0"/>
                <w:sz w:val="22"/>
                <w:szCs w:val="22"/>
              </w:rPr>
              <w:t>≤得分＜</w:t>
            </w:r>
            <w:r>
              <w:rPr>
                <w:rFonts w:hint="eastAsia"/>
                <w:color w:val="auto"/>
                <w:kern w:val="0"/>
                <w:sz w:val="22"/>
                <w:szCs w:val="22"/>
              </w:rPr>
              <w:t>81</w:t>
            </w:r>
          </w:p>
        </w:tc>
        <w:tc>
          <w:tcPr>
            <w:tcW w:w="2700" w:type="dxa"/>
            <w:vAlign w:val="bottom"/>
          </w:tcPr>
          <w:p>
            <w:pPr>
              <w:widowControl/>
              <w:jc w:val="right"/>
              <w:rPr>
                <w:color w:val="auto"/>
                <w:kern w:val="0"/>
                <w:sz w:val="22"/>
                <w:szCs w:val="22"/>
              </w:rPr>
            </w:pPr>
            <w:r>
              <w:rPr>
                <w:rFonts w:hint="eastAsia"/>
                <w:color w:val="auto"/>
                <w:kern w:val="0"/>
                <w:sz w:val="22"/>
                <w:szCs w:val="22"/>
              </w:rPr>
              <w:t>0.</w:t>
            </w:r>
            <w:r>
              <w:rPr>
                <w:rFonts w:hint="eastAsia"/>
                <w:color w:val="auto"/>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45" w:type="dxa"/>
            <w:vAlign w:val="bottom"/>
          </w:tcPr>
          <w:p>
            <w:pPr>
              <w:widowControl/>
              <w:jc w:val="left"/>
              <w:rPr>
                <w:color w:val="auto"/>
                <w:kern w:val="0"/>
                <w:sz w:val="22"/>
                <w:szCs w:val="22"/>
              </w:rPr>
            </w:pPr>
            <w:r>
              <w:rPr>
                <w:rFonts w:hint="eastAsia" w:hAnsi="宋体" w:cs="宋体"/>
                <w:color w:val="auto"/>
                <w:kern w:val="0"/>
                <w:sz w:val="22"/>
                <w:szCs w:val="22"/>
              </w:rPr>
              <w:t>得分＜</w:t>
            </w:r>
            <w:r>
              <w:rPr>
                <w:rFonts w:hint="eastAsia" w:cs="宋体"/>
                <w:color w:val="auto"/>
                <w:kern w:val="0"/>
                <w:sz w:val="22"/>
                <w:szCs w:val="22"/>
              </w:rPr>
              <w:t>80</w:t>
            </w:r>
          </w:p>
        </w:tc>
        <w:tc>
          <w:tcPr>
            <w:tcW w:w="2700" w:type="dxa"/>
            <w:vAlign w:val="bottom"/>
          </w:tcPr>
          <w:p>
            <w:pPr>
              <w:widowControl/>
              <w:jc w:val="right"/>
              <w:rPr>
                <w:color w:val="auto"/>
                <w:kern w:val="0"/>
                <w:sz w:val="22"/>
                <w:szCs w:val="22"/>
              </w:rPr>
            </w:pPr>
            <w:r>
              <w:rPr>
                <w:color w:val="auto"/>
                <w:kern w:val="0"/>
                <w:sz w:val="22"/>
                <w:szCs w:val="22"/>
              </w:rPr>
              <w:t>不中标</w:t>
            </w:r>
          </w:p>
        </w:tc>
      </w:tr>
    </w:tbl>
    <w:p>
      <w:pPr>
        <w:adjustRightInd w:val="0"/>
        <w:spacing w:line="600" w:lineRule="exact"/>
        <w:ind w:firstLine="600" w:firstLineChars="200"/>
        <w:rPr>
          <w:rFonts w:eastAsia="方正仿宋_GBK"/>
          <w:bCs/>
          <w:sz w:val="30"/>
          <w:szCs w:val="30"/>
        </w:rPr>
      </w:pPr>
      <w:r>
        <w:rPr>
          <w:rFonts w:hint="eastAsia" w:ascii="仿宋_GB2312" w:hAnsi="仿宋_GB2312" w:eastAsia="仿宋_GB2312" w:cs="仿宋_GB2312"/>
          <w:bCs/>
          <w:color w:val="auto"/>
          <w:sz w:val="30"/>
          <w:szCs w:val="30"/>
        </w:rPr>
        <w:t>2.中标银行按各自得分对应获得基本存款；基本存款额高于该行投标金额的，中标存款额为该行的投标金额；得分达到或超过90分</w:t>
      </w:r>
      <w:r>
        <w:rPr>
          <w:rFonts w:hint="eastAsia" w:ascii="仿宋_GB2312" w:hAnsi="仿宋_GB2312" w:eastAsia="仿宋_GB2312" w:cs="仿宋_GB2312"/>
          <w:bCs/>
          <w:sz w:val="30"/>
          <w:szCs w:val="30"/>
        </w:rPr>
        <w:t>的中标银行，除对应获得基本存款外，再按如下公式计算获得再分配存款：</w:t>
      </w:r>
    </w:p>
    <w:p>
      <w:pPr>
        <w:adjustRightInd w:val="0"/>
        <w:spacing w:line="600" w:lineRule="exact"/>
        <w:rPr>
          <w:rFonts w:eastAsia="方正仿宋_GBK"/>
          <w:bCs/>
          <w:sz w:val="28"/>
          <w:szCs w:val="28"/>
        </w:rPr>
      </w:pPr>
      <w:r>
        <w:rPr>
          <w:rFonts w:hint="eastAsia" w:eastAsia="方正仿宋_GBK"/>
          <w:bCs/>
          <w:sz w:val="28"/>
          <w:szCs w:val="28"/>
          <w:lang w:val="en-US" w:eastAsia="zh-CN"/>
        </w:rPr>
        <w:t xml:space="preserve">    </w:t>
      </w:r>
      <w:r>
        <w:rPr>
          <w:rFonts w:eastAsia="方正仿宋_GBK"/>
          <w:b/>
          <w:bCs/>
          <w:sz w:val="28"/>
          <w:szCs w:val="28"/>
        </w:rPr>
        <w:t>某中标银行再分配存款额</w:t>
      </w:r>
      <w:r>
        <w:rPr>
          <w:rFonts w:eastAsia="方正仿宋_GBK"/>
          <w:bCs/>
          <w:sz w:val="28"/>
          <w:szCs w:val="28"/>
        </w:rPr>
        <w:t>＝</w:t>
      </w:r>
    </w:p>
    <w:p>
      <w:pPr>
        <w:adjustRightInd w:val="0"/>
        <w:spacing w:line="480" w:lineRule="auto"/>
        <w:ind w:firstLine="320" w:firstLineChars="100"/>
        <w:rPr>
          <w:rFonts w:eastAsia="方正仿宋_GBK"/>
          <w:bCs/>
          <w:sz w:val="28"/>
          <w:szCs w:val="28"/>
        </w:rPr>
      </w:pPr>
      <w:r>
        <w:rPr>
          <w:rFonts w:ascii="Times New Roman" w:hAnsi="Times New Roman" w:eastAsia="方正仿宋_GBK" w:cs="Times New Roman"/>
          <w:bCs/>
          <w:kern w:val="2"/>
          <w:position w:val="-28"/>
          <w:sz w:val="32"/>
          <w:szCs w:val="32"/>
          <w:highlight w:val="none"/>
          <w:lang w:val="en-US" w:eastAsia="zh-CN" w:bidi="ar-SA"/>
        </w:rPr>
        <w:object>
          <v:shape id="Picture 1" type="#_x0000_t75" style="height:36pt;width:169.85pt;rotation:0f;" o:ole="t" fillcolor="#FFFFFF" filled="f" o:preferrelative="f" stroked="f" coordorigin="0,0" coordsize="21600,21600">
            <v:fill on="f" color2="#FFFFFF" focus="0%"/>
            <v:imagedata gain="65536f" blacklevel="0f" gamma="0" o:title="" r:id="rId8"/>
            <o:lock v:ext="edit" position="f" selection="f" grouping="f" rotation="f" cropping="f" text="f" aspectratio="f"/>
            <w10:wrap type="none"/>
            <w10:anchorlock/>
          </v:shape>
          <o:OLEObject Type="Embed" ProgID="" ShapeID="Picture 1" DrawAspect="Content" ObjectID="_5" r:id="rId7"/>
        </w:object>
      </w:r>
      <w:r>
        <w:rPr>
          <w:rFonts w:eastAsia="方正仿宋_GBK"/>
          <w:bCs/>
          <w:sz w:val="32"/>
          <w:szCs w:val="32"/>
          <w:highlight w:val="none"/>
        </w:rPr>
        <w:t>×</w:t>
      </w:r>
      <w:r>
        <w:rPr>
          <w:rFonts w:eastAsia="方正仿宋_GBK"/>
          <w:bCs/>
          <w:sz w:val="28"/>
          <w:szCs w:val="28"/>
        </w:rPr>
        <w:t>再分配存款总额；</w:t>
      </w:r>
    </w:p>
    <w:p>
      <w:pPr>
        <w:adjustRightInd w:val="0"/>
        <w:spacing w:line="480" w:lineRule="auto"/>
        <w:rPr>
          <w:rFonts w:eastAsia="方正仿宋_GBK"/>
          <w:bCs/>
          <w:sz w:val="28"/>
          <w:szCs w:val="28"/>
        </w:rPr>
      </w:pPr>
      <w:r>
        <w:rPr>
          <w:rFonts w:hint="eastAsia" w:eastAsia="方正仿宋_GBK"/>
          <w:b/>
          <w:bCs/>
          <w:sz w:val="28"/>
          <w:szCs w:val="28"/>
          <w:lang w:val="en-US" w:eastAsia="zh-CN"/>
        </w:rPr>
        <w:t xml:space="preserve">    </w:t>
      </w:r>
      <w:r>
        <w:rPr>
          <w:rFonts w:eastAsia="方正仿宋_GBK"/>
          <w:b/>
          <w:bCs/>
          <w:sz w:val="28"/>
          <w:szCs w:val="28"/>
        </w:rPr>
        <w:t>再分配存款总额</w:t>
      </w:r>
      <w:r>
        <w:rPr>
          <w:rFonts w:eastAsia="方正仿宋_GBK"/>
          <w:bCs/>
          <w:sz w:val="28"/>
          <w:szCs w:val="28"/>
        </w:rPr>
        <w:t>＝招标总额－∑基本存款额。</w:t>
      </w:r>
    </w:p>
    <w:p>
      <w:pPr>
        <w:adjustRightInd w:val="0"/>
        <w:spacing w:line="600" w:lineRule="exact"/>
        <w:ind w:firstLine="0" w:firstLineChars="0"/>
        <w:rPr>
          <w:rFonts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 xml:space="preserve">    </w:t>
      </w:r>
      <w:r>
        <w:rPr>
          <w:rFonts w:hint="eastAsia" w:ascii="仿宋_GB2312" w:hAnsi="仿宋_GB2312" w:eastAsia="仿宋_GB2312" w:cs="仿宋_GB2312"/>
          <w:bCs/>
          <w:sz w:val="30"/>
          <w:szCs w:val="30"/>
        </w:rPr>
        <w:t>3.经上述分配结束后，中标银行分配的存款额（含基本存款和再分配存款）高于该行投标金额的，中标存款额为该行的投标金额；若仍有资金剩余，则不再分配。</w:t>
      </w:r>
    </w:p>
    <w:p>
      <w:pPr>
        <w:ind w:left="45" w:firstLine="570"/>
        <w:rPr>
          <w:rFonts w:ascii="黑体" w:hAnsi="黑体" w:eastAsia="黑体"/>
          <w:bCs/>
          <w:sz w:val="30"/>
          <w:szCs w:val="30"/>
        </w:rPr>
      </w:pPr>
      <w:r>
        <w:rPr>
          <w:rFonts w:hint="eastAsia" w:ascii="黑体" w:hAnsi="黑体" w:eastAsia="黑体"/>
          <w:bCs/>
          <w:sz w:val="30"/>
          <w:szCs w:val="30"/>
        </w:rPr>
        <w:t>三、各银行中标利率</w:t>
      </w:r>
    </w:p>
    <w:p>
      <w:pPr>
        <w:ind w:left="45" w:firstLine="570"/>
        <w:rPr>
          <w:rFonts w:ascii="仿宋_GB2312" w:eastAsia="仿宋_GB2312"/>
          <w:bCs/>
          <w:sz w:val="30"/>
          <w:szCs w:val="30"/>
        </w:rPr>
      </w:pPr>
      <w:r>
        <w:rPr>
          <w:rFonts w:hint="eastAsia" w:ascii="仿宋_GB2312" w:eastAsia="仿宋_GB2312"/>
          <w:bCs/>
          <w:sz w:val="30"/>
          <w:szCs w:val="30"/>
        </w:rPr>
        <w:t>各中标银行的投标利率即为其中标利率，应符合各级市场利率定价自律机制的相关自律决议。</w:t>
      </w:r>
    </w:p>
    <w:p>
      <w:pPr>
        <w:rPr>
          <w:rFonts w:ascii="黑体" w:hAnsi="黑体" w:eastAsia="黑体"/>
          <w:bCs/>
          <w:sz w:val="30"/>
          <w:szCs w:val="30"/>
        </w:rPr>
      </w:pPr>
      <w:r>
        <w:rPr>
          <w:rFonts w:hint="eastAsia" w:ascii="仿宋_GB2312" w:eastAsia="仿宋_GB2312"/>
          <w:b/>
          <w:bCs/>
          <w:sz w:val="30"/>
          <w:szCs w:val="30"/>
        </w:rPr>
        <w:br w:type="page"/>
      </w:r>
      <w:r>
        <w:rPr>
          <w:rFonts w:hint="eastAsia" w:ascii="黑体" w:hAnsi="黑体" w:eastAsia="黑体"/>
          <w:bCs/>
          <w:sz w:val="30"/>
          <w:szCs w:val="30"/>
        </w:rPr>
        <w:t>附件1</w:t>
      </w:r>
    </w:p>
    <w:p>
      <w:pPr>
        <w:jc w:val="center"/>
        <w:rPr>
          <w:rFonts w:eastAsia="方正小标宋_GBK"/>
          <w:bCs/>
          <w:sz w:val="36"/>
          <w:szCs w:val="36"/>
        </w:rPr>
      </w:pPr>
      <w:r>
        <w:rPr>
          <w:rFonts w:hint="eastAsia" w:eastAsia="方正小标宋_GBK"/>
          <w:bCs/>
          <w:sz w:val="36"/>
          <w:szCs w:val="36"/>
        </w:rPr>
        <w:t>投 标 函</w:t>
      </w:r>
    </w:p>
    <w:p>
      <w:pPr>
        <w:rPr>
          <w:rFonts w:ascii="仿宋_GB2312" w:eastAsia="仿宋_GB2312"/>
          <w:bCs/>
          <w:sz w:val="30"/>
          <w:szCs w:val="30"/>
        </w:rPr>
      </w:pPr>
      <w:r>
        <w:rPr>
          <w:rFonts w:hint="eastAsia" w:ascii="仿宋_GB2312" w:eastAsia="仿宋_GB2312"/>
          <w:bCs/>
          <w:sz w:val="30"/>
          <w:szCs w:val="30"/>
        </w:rPr>
        <w:t xml:space="preserve">致：苏州市财政局、中国人民银行苏州市分行 </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根据贵方“苏州市市级国库现金管理商业银行定期存款项目（2025年第3期，总第3期）”的招标邀请，</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（姓名）被正式授权代表投标人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，（投标人名称、地址）按照招标文件要求向贵方提交下述文件正本1份：</w:t>
      </w:r>
    </w:p>
    <w:p>
      <w:pPr>
        <w:ind w:firstLine="600" w:firstLineChars="200"/>
        <w:rPr>
          <w:rFonts w:ascii="仿宋_GB2312" w:eastAsia="仿宋_GB2312"/>
          <w:bCs/>
          <w:sz w:val="30"/>
          <w:szCs w:val="30"/>
        </w:rPr>
      </w:pPr>
      <w:r>
        <w:rPr>
          <w:rFonts w:hint="eastAsia" w:ascii="仿宋_GB2312" w:eastAsia="仿宋_GB2312"/>
          <w:bCs/>
          <w:sz w:val="30"/>
          <w:szCs w:val="30"/>
        </w:rPr>
        <w:t>（1）投标一览表；</w:t>
      </w:r>
    </w:p>
    <w:p>
      <w:pPr>
        <w:ind w:firstLine="600" w:firstLineChars="200"/>
        <w:rPr>
          <w:rFonts w:ascii="仿宋_GB2312" w:eastAsia="仿宋_GB2312"/>
          <w:bCs/>
          <w:sz w:val="30"/>
          <w:szCs w:val="30"/>
        </w:rPr>
      </w:pPr>
      <w:r>
        <w:rPr>
          <w:rFonts w:hint="eastAsia" w:ascii="仿宋_GB2312" w:eastAsia="仿宋_GB2312"/>
          <w:bCs/>
          <w:sz w:val="30"/>
          <w:szCs w:val="30"/>
        </w:rPr>
        <w:t>（2）授权委托书，被授权人身份证复印件；</w:t>
      </w:r>
    </w:p>
    <w:p>
      <w:pPr>
        <w:ind w:left="45" w:firstLine="600" w:firstLineChars="200"/>
        <w:rPr>
          <w:rFonts w:ascii="仿宋_GB2312" w:eastAsia="仿宋_GB2312"/>
          <w:bCs/>
          <w:sz w:val="30"/>
          <w:szCs w:val="30"/>
        </w:rPr>
      </w:pPr>
      <w:r>
        <w:rPr>
          <w:rFonts w:hint="eastAsia" w:ascii="仿宋_GB2312" w:eastAsia="仿宋_GB2312"/>
          <w:bCs/>
          <w:sz w:val="30"/>
          <w:szCs w:val="30"/>
        </w:rPr>
        <w:t>据此函，投标人宣布同意如下：</w:t>
      </w:r>
    </w:p>
    <w:p>
      <w:pPr>
        <w:ind w:left="45" w:firstLine="600" w:firstLineChars="200"/>
        <w:rPr>
          <w:rFonts w:ascii="仿宋_GB2312" w:eastAsia="仿宋_GB2312"/>
          <w:bCs/>
          <w:sz w:val="30"/>
          <w:szCs w:val="30"/>
        </w:rPr>
      </w:pPr>
      <w:r>
        <w:rPr>
          <w:rFonts w:hint="eastAsia" w:ascii="仿宋_GB2312" w:eastAsia="仿宋_GB2312"/>
          <w:bCs/>
          <w:sz w:val="30"/>
          <w:szCs w:val="30"/>
        </w:rPr>
        <w:t>1.我们同意按照招标文件要求通过“</w:t>
      </w:r>
      <w:r>
        <w:rPr>
          <w:rFonts w:hint="eastAsia" w:ascii="仿宋_GB2312" w:hAnsi="仿宋_GB2312" w:eastAsia="仿宋_GB2312" w:cs="仿宋_GB2312"/>
          <w:bCs/>
          <w:sz w:val="30"/>
          <w:szCs w:val="30"/>
        </w:rPr>
        <w:t>财政资金存放网上招标系统</w:t>
      </w:r>
      <w:r>
        <w:rPr>
          <w:rFonts w:hint="eastAsia" w:ascii="仿宋_GB2312" w:eastAsia="仿宋_GB2312"/>
          <w:bCs/>
          <w:sz w:val="30"/>
          <w:szCs w:val="30"/>
        </w:rPr>
        <w:t>”完成在线投标，并在线参加开标仪式。</w:t>
      </w:r>
    </w:p>
    <w:p>
      <w:pPr>
        <w:ind w:left="45" w:firstLine="600" w:firstLineChars="200"/>
        <w:rPr>
          <w:rFonts w:ascii="仿宋_GB2312" w:eastAsia="仿宋_GB2312"/>
          <w:bCs/>
          <w:sz w:val="30"/>
          <w:szCs w:val="30"/>
        </w:rPr>
      </w:pPr>
      <w:r>
        <w:rPr>
          <w:rFonts w:hint="eastAsia" w:ascii="仿宋_GB2312" w:eastAsia="仿宋_GB2312"/>
          <w:bCs/>
          <w:sz w:val="30"/>
          <w:szCs w:val="30"/>
        </w:rPr>
        <w:t>2.我们已详细研究了全部招标文件，包括招标文件的修改书（如果有的话）及有关附件，我们已完全理解招标文件并同意放弃提出对招标文件误解的权利。</w:t>
      </w:r>
    </w:p>
    <w:p>
      <w:pPr>
        <w:tabs>
          <w:tab w:val="left" w:pos="506"/>
        </w:tabs>
        <w:ind w:left="45" w:firstLine="600" w:firstLineChars="200"/>
        <w:rPr>
          <w:rFonts w:ascii="仿宋_GB2312" w:eastAsia="仿宋_GB2312"/>
          <w:bCs/>
          <w:sz w:val="30"/>
          <w:szCs w:val="30"/>
        </w:rPr>
      </w:pPr>
      <w:r>
        <w:rPr>
          <w:rFonts w:hint="eastAsia" w:ascii="仿宋_GB2312" w:eastAsia="仿宋_GB2312"/>
          <w:bCs/>
          <w:sz w:val="30"/>
          <w:szCs w:val="30"/>
        </w:rPr>
        <w:t>3.我们承诺独立投标，不与其他投标人串通、勾结。</w:t>
      </w:r>
    </w:p>
    <w:p>
      <w:pPr>
        <w:ind w:left="45" w:firstLine="600" w:firstLineChars="200"/>
        <w:rPr>
          <w:rFonts w:ascii="仿宋_GB2312" w:eastAsia="仿宋_GB2312"/>
          <w:bCs/>
          <w:sz w:val="30"/>
          <w:szCs w:val="30"/>
        </w:rPr>
      </w:pPr>
      <w:r>
        <w:rPr>
          <w:rFonts w:hint="eastAsia" w:ascii="仿宋_GB2312" w:eastAsia="仿宋_GB2312"/>
          <w:bCs/>
          <w:sz w:val="30"/>
          <w:szCs w:val="30"/>
        </w:rPr>
        <w:t>4.我们同意向贵方提供贵方可能进一步要求的与本投标有关的任何证据或资料。</w:t>
      </w:r>
    </w:p>
    <w:p>
      <w:pPr>
        <w:ind w:left="45"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投标人确认的相关信息</w:t>
      </w:r>
    </w:p>
    <w:p>
      <w:pPr>
        <w:ind w:left="44" w:leftChars="21" w:firstLine="900" w:firstLineChars="300"/>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通讯地址：</w:t>
      </w:r>
      <w:r>
        <w:rPr>
          <w:rFonts w:hint="eastAsia" w:ascii="仿宋_GB2312" w:hAnsi="仿宋_GB2312" w:eastAsia="仿宋_GB2312" w:cs="仿宋_GB2312"/>
          <w:bCs/>
          <w:sz w:val="30"/>
          <w:szCs w:val="30"/>
          <w:u w:val="single"/>
        </w:rPr>
        <w:t xml:space="preserve">                                  </w:t>
      </w:r>
    </w:p>
    <w:p>
      <w:pPr>
        <w:ind w:left="44" w:leftChars="21" w:firstLine="900" w:firstLineChars="300"/>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电话、传真：</w:t>
      </w:r>
      <w:r>
        <w:rPr>
          <w:rFonts w:hint="eastAsia" w:ascii="仿宋_GB2312" w:hAnsi="仿宋_GB2312" w:eastAsia="仿宋_GB2312" w:cs="仿宋_GB2312"/>
          <w:bCs/>
          <w:sz w:val="30"/>
          <w:szCs w:val="30"/>
          <w:u w:val="single"/>
        </w:rPr>
        <w:t xml:space="preserve">                                </w:t>
      </w:r>
    </w:p>
    <w:p>
      <w:pPr>
        <w:ind w:left="44" w:leftChars="21" w:firstLine="900" w:firstLineChars="300"/>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邮政编码：</w:t>
      </w:r>
      <w:r>
        <w:rPr>
          <w:rFonts w:hint="eastAsia" w:ascii="仿宋_GB2312" w:hAnsi="仿宋_GB2312" w:eastAsia="仿宋_GB2312" w:cs="仿宋_GB2312"/>
          <w:bCs/>
          <w:sz w:val="30"/>
          <w:szCs w:val="30"/>
          <w:u w:val="single"/>
        </w:rPr>
        <w:t xml:space="preserve">                                  </w:t>
      </w:r>
    </w:p>
    <w:p>
      <w:pPr>
        <w:ind w:left="44" w:leftChars="21" w:firstLine="900" w:firstLineChars="300"/>
        <w:rPr>
          <w:rFonts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投标人授权代表签名：</w:t>
      </w:r>
      <w:r>
        <w:rPr>
          <w:rFonts w:hint="eastAsia" w:ascii="仿宋_GB2312" w:hAnsi="仿宋_GB2312" w:eastAsia="仿宋_GB2312" w:cs="仿宋_GB2312"/>
          <w:bCs/>
          <w:sz w:val="30"/>
          <w:szCs w:val="30"/>
          <w:u w:val="single"/>
        </w:rPr>
        <w:t xml:space="preserve">                        </w:t>
      </w:r>
    </w:p>
    <w:p>
      <w:pPr>
        <w:ind w:left="44" w:leftChars="21" w:firstLine="900" w:firstLineChars="3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投标人名称（公章）：</w:t>
      </w:r>
      <w:r>
        <w:rPr>
          <w:rFonts w:hint="eastAsia" w:ascii="仿宋_GB2312" w:hAnsi="仿宋_GB2312" w:eastAsia="仿宋_GB2312" w:cs="仿宋_GB2312"/>
          <w:bCs/>
          <w:sz w:val="30"/>
          <w:szCs w:val="30"/>
          <w:u w:val="single"/>
        </w:rPr>
        <w:t xml:space="preserve">                         </w:t>
      </w:r>
    </w:p>
    <w:p>
      <w:pPr>
        <w:ind w:right="56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年       月      日</w:t>
      </w:r>
    </w:p>
    <w:p>
      <w:pPr>
        <w:ind w:right="560"/>
        <w:jc w:val="left"/>
        <w:rPr>
          <w:rFonts w:ascii="黑体" w:hAnsi="黑体" w:eastAsia="黑体"/>
          <w:bCs/>
          <w:sz w:val="30"/>
          <w:szCs w:val="30"/>
        </w:rPr>
      </w:pPr>
      <w:r>
        <w:rPr>
          <w:rFonts w:hint="eastAsia" w:ascii="仿宋_GB2312" w:eastAsia="仿宋_GB2312"/>
          <w:b/>
          <w:bCs/>
          <w:sz w:val="32"/>
          <w:szCs w:val="32"/>
        </w:rPr>
        <w:br w:type="page"/>
      </w:r>
      <w:r>
        <w:rPr>
          <w:rFonts w:hint="eastAsia" w:ascii="黑体" w:hAnsi="黑体" w:eastAsia="黑体"/>
          <w:bCs/>
          <w:sz w:val="30"/>
          <w:szCs w:val="30"/>
        </w:rPr>
        <w:t>附件2</w:t>
      </w:r>
    </w:p>
    <w:p>
      <w:pPr>
        <w:ind w:left="45"/>
        <w:jc w:val="center"/>
        <w:rPr>
          <w:rFonts w:eastAsia="方正小标宋_GBK"/>
          <w:bCs/>
          <w:sz w:val="36"/>
          <w:szCs w:val="36"/>
        </w:rPr>
      </w:pPr>
      <w:r>
        <w:rPr>
          <w:rFonts w:hint="eastAsia" w:eastAsia="方正小标宋_GBK"/>
          <w:bCs/>
          <w:sz w:val="36"/>
          <w:szCs w:val="36"/>
        </w:rPr>
        <w:t>投标一览表</w:t>
      </w:r>
    </w:p>
    <w:p>
      <w:pPr>
        <w:ind w:left="44" w:leftChars="21" w:firstLine="784" w:firstLineChars="244"/>
        <w:rPr>
          <w:rFonts w:ascii="宋体" w:hAnsi="宋体"/>
          <w:b/>
          <w:bCs/>
          <w:sz w:val="32"/>
          <w:szCs w:val="32"/>
        </w:rPr>
      </w:pPr>
    </w:p>
    <w:p>
      <w:pPr>
        <w:ind w:firstLine="602" w:firstLineChars="200"/>
        <w:rPr>
          <w:rFonts w:ascii="仿宋_GB2312" w:hAnsi="仿宋_GB2312" w:eastAsia="仿宋_GB2312" w:cs="仿宋_GB2312"/>
          <w:bCs/>
          <w:sz w:val="30"/>
          <w:szCs w:val="30"/>
        </w:rPr>
      </w:pPr>
      <w:r>
        <w:rPr>
          <w:rFonts w:hint="eastAsia" w:ascii="仿宋_GB2312" w:hAnsi="仿宋_GB2312" w:eastAsia="仿宋_GB2312" w:cs="仿宋_GB2312"/>
          <w:b/>
          <w:bCs/>
          <w:sz w:val="30"/>
          <w:szCs w:val="30"/>
        </w:rPr>
        <w:t>项目名称：</w:t>
      </w:r>
      <w:r>
        <w:rPr>
          <w:rFonts w:hint="eastAsia" w:ascii="仿宋_GB2312" w:hAnsi="仿宋_GB2312" w:eastAsia="仿宋_GB2312" w:cs="仿宋_GB2312"/>
          <w:bCs/>
          <w:sz w:val="30"/>
          <w:szCs w:val="30"/>
        </w:rPr>
        <w:t>苏州市市级国库现金管理商业银行定期存款项目（2025年第3期，总第3期）</w:t>
      </w:r>
    </w:p>
    <w:p>
      <w:pPr>
        <w:ind w:firstLine="602" w:firstLineChars="200"/>
        <w:rPr>
          <w:rFonts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rPr>
        <w:t>投标人名称：</w:t>
      </w:r>
      <w:r>
        <w:rPr>
          <w:rFonts w:hint="eastAsia" w:ascii="仿宋_GB2312" w:hAnsi="仿宋_GB2312" w:eastAsia="仿宋_GB2312" w:cs="仿宋_GB2312"/>
          <w:b/>
          <w:bCs/>
          <w:sz w:val="30"/>
          <w:szCs w:val="30"/>
          <w:u w:val="single"/>
        </w:rPr>
        <w:t xml:space="preserve">                                      ；</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投标金额：</w:t>
      </w:r>
      <w:r>
        <w:rPr>
          <w:rFonts w:hint="eastAsia" w:ascii="仿宋_GB2312" w:hAnsi="仿宋_GB2312" w:eastAsia="仿宋_GB2312" w:cs="仿宋_GB2312"/>
          <w:b/>
          <w:bCs/>
          <w:sz w:val="30"/>
          <w:szCs w:val="30"/>
          <w:u w:val="single"/>
        </w:rPr>
        <w:t xml:space="preserve">         亿元；</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投标利率：为投标当日同期限金融机构人民币存款基准利率加/减</w:t>
      </w:r>
    </w:p>
    <w:p>
      <w:pPr>
        <w:ind w:left="342" w:leftChars="163" w:firstLine="301" w:firstLineChars="100"/>
        <w:rPr>
          <w:rFonts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u w:val="single"/>
        </w:rPr>
        <w:t xml:space="preserve">       </w:t>
      </w:r>
      <w:r>
        <w:rPr>
          <w:rFonts w:hint="eastAsia" w:ascii="仿宋_GB2312" w:hAnsi="仿宋_GB2312" w:eastAsia="仿宋_GB2312" w:cs="仿宋_GB2312"/>
          <w:b/>
          <w:bCs/>
          <w:sz w:val="30"/>
          <w:szCs w:val="30"/>
        </w:rPr>
        <w:t>个BP，加减后，</w:t>
      </w:r>
      <w:r>
        <w:rPr>
          <w:rFonts w:hint="eastAsia" w:eastAsia="仿宋_GB2312"/>
          <w:b/>
          <w:bCs/>
          <w:sz w:val="30"/>
          <w:szCs w:val="30"/>
        </w:rPr>
        <w:t>_____</w:t>
      </w:r>
      <w:r>
        <w:rPr>
          <w:rFonts w:hint="eastAsia" w:ascii="仿宋_GB2312" w:hAnsi="仿宋_GB2312" w:eastAsia="仿宋_GB2312" w:cs="仿宋_GB2312"/>
          <w:b/>
          <w:bCs/>
          <w:sz w:val="30"/>
          <w:szCs w:val="30"/>
        </w:rPr>
        <w:t>个月期限国库定期存款利率为</w:t>
      </w:r>
      <w:r>
        <w:rPr>
          <w:rFonts w:hint="eastAsia" w:ascii="仿宋_GB2312" w:hAnsi="仿宋_GB2312" w:eastAsia="仿宋_GB2312" w:cs="仿宋_GB2312"/>
          <w:b/>
          <w:bCs/>
          <w:sz w:val="30"/>
          <w:szCs w:val="30"/>
          <w:u w:val="single"/>
        </w:rPr>
        <w:t xml:space="preserve">      </w:t>
      </w:r>
      <w:r>
        <w:rPr>
          <w:rFonts w:eastAsia="仿宋_GB2312"/>
          <w:b/>
          <w:bCs/>
          <w:sz w:val="30"/>
          <w:szCs w:val="30"/>
          <w:u w:val="single"/>
        </w:rPr>
        <w:t>%</w:t>
      </w:r>
      <w:r>
        <w:rPr>
          <w:rFonts w:hint="eastAsia" w:ascii="仿宋_GB2312" w:hAnsi="仿宋_GB2312" w:eastAsia="仿宋_GB2312" w:cs="仿宋_GB2312"/>
          <w:b/>
          <w:bCs/>
          <w:sz w:val="30"/>
          <w:szCs w:val="30"/>
          <w:u w:val="single"/>
        </w:rPr>
        <w:t>。</w:t>
      </w:r>
    </w:p>
    <w:p>
      <w:pPr>
        <w:ind w:left="45" w:firstLine="640" w:firstLineChars="200"/>
        <w:rPr>
          <w:rFonts w:eastAsia="方正仿宋_GBK"/>
          <w:bCs/>
          <w:sz w:val="32"/>
          <w:szCs w:val="32"/>
        </w:rPr>
      </w:pPr>
    </w:p>
    <w:p>
      <w:pPr>
        <w:ind w:left="45" w:firstLine="640" w:firstLineChars="200"/>
        <w:rPr>
          <w:rFonts w:eastAsia="方正仿宋_GBK"/>
          <w:bCs/>
          <w:sz w:val="32"/>
          <w:szCs w:val="32"/>
        </w:rPr>
      </w:pPr>
    </w:p>
    <w:p>
      <w:pPr>
        <w:ind w:left="44" w:leftChars="21" w:firstLine="643" w:firstLineChars="200"/>
        <w:rPr>
          <w:rFonts w:eastAsia="仿宋_GB2312"/>
          <w:b/>
          <w:bCs/>
          <w:sz w:val="32"/>
          <w:szCs w:val="32"/>
        </w:rPr>
      </w:pPr>
    </w:p>
    <w:p>
      <w:pPr>
        <w:ind w:left="342" w:leftChars="163" w:firstLine="321" w:firstLineChars="100"/>
        <w:rPr>
          <w:rFonts w:eastAsia="仿宋_GB2312"/>
          <w:b/>
          <w:bCs/>
          <w:sz w:val="32"/>
          <w:szCs w:val="32"/>
          <w:u w:val="single"/>
        </w:rPr>
      </w:pPr>
    </w:p>
    <w:p>
      <w:pPr>
        <w:ind w:left="45"/>
        <w:rPr>
          <w:rFonts w:eastAsia="仿宋_GB2312"/>
          <w:bCs/>
          <w:sz w:val="32"/>
          <w:szCs w:val="32"/>
        </w:rPr>
      </w:pPr>
      <w:r>
        <w:rPr>
          <w:rFonts w:eastAsia="仿宋_GB2312"/>
          <w:bCs/>
          <w:sz w:val="32"/>
          <w:szCs w:val="32"/>
        </w:rPr>
        <w:t>投标人授权代表签字：</w:t>
      </w:r>
    </w:p>
    <w:p>
      <w:pPr>
        <w:ind w:left="45"/>
        <w:rPr>
          <w:rFonts w:eastAsia="仿宋_GB2312"/>
          <w:bCs/>
          <w:sz w:val="32"/>
          <w:szCs w:val="32"/>
        </w:rPr>
      </w:pPr>
      <w:r>
        <w:rPr>
          <w:rFonts w:eastAsia="仿宋_GB2312"/>
          <w:bCs/>
          <w:sz w:val="32"/>
          <w:szCs w:val="32"/>
        </w:rPr>
        <w:t>投标人公章：</w:t>
      </w:r>
    </w:p>
    <w:p>
      <w:pPr>
        <w:ind w:left="45"/>
        <w:jc w:val="right"/>
        <w:rPr>
          <w:rFonts w:eastAsia="仿宋_GB2312"/>
          <w:bCs/>
          <w:sz w:val="32"/>
          <w:szCs w:val="32"/>
        </w:rPr>
      </w:pPr>
      <w:r>
        <w:rPr>
          <w:rFonts w:eastAsia="仿宋_GB2312"/>
          <w:bCs/>
          <w:sz w:val="32"/>
          <w:szCs w:val="32"/>
        </w:rPr>
        <w:t xml:space="preserve">      年      月      日</w:t>
      </w: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jc w:val="left"/>
        <w:rPr>
          <w:rFonts w:ascii="黑体" w:hAnsi="黑体" w:eastAsia="黑体"/>
          <w:bCs/>
          <w:sz w:val="30"/>
          <w:szCs w:val="30"/>
        </w:rPr>
      </w:pPr>
      <w:r>
        <w:rPr>
          <w:rFonts w:hint="eastAsia" w:ascii="黑体" w:hAnsi="黑体" w:eastAsia="黑体"/>
          <w:bCs/>
          <w:sz w:val="30"/>
          <w:szCs w:val="30"/>
        </w:rPr>
        <w:t>附件3</w:t>
      </w:r>
    </w:p>
    <w:p>
      <w:pPr>
        <w:jc w:val="center"/>
        <w:rPr>
          <w:rFonts w:eastAsia="方正小标宋_GBK"/>
          <w:bCs/>
          <w:sz w:val="36"/>
          <w:szCs w:val="36"/>
        </w:rPr>
      </w:pPr>
      <w:r>
        <w:rPr>
          <w:rFonts w:hint="eastAsia" w:eastAsia="方正小标宋_GBK"/>
          <w:bCs/>
          <w:sz w:val="36"/>
          <w:szCs w:val="36"/>
        </w:rPr>
        <w:t>授权委托书</w:t>
      </w:r>
    </w:p>
    <w:p>
      <w:pPr>
        <w:ind w:right="560"/>
        <w:rPr>
          <w:rFonts w:eastAsia="仿宋_GB2312"/>
          <w:bCs/>
          <w:sz w:val="30"/>
          <w:szCs w:val="30"/>
        </w:rPr>
      </w:pPr>
    </w:p>
    <w:p>
      <w:pPr>
        <w:ind w:right="560"/>
        <w:rPr>
          <w:rFonts w:eastAsia="仿宋_GB2312"/>
          <w:bCs/>
          <w:sz w:val="32"/>
          <w:szCs w:val="32"/>
        </w:rPr>
      </w:pPr>
      <w:r>
        <w:rPr>
          <w:rFonts w:eastAsia="仿宋_GB2312"/>
          <w:bCs/>
          <w:sz w:val="32"/>
          <w:szCs w:val="32"/>
        </w:rPr>
        <w:t>致：</w:t>
      </w:r>
      <w:r>
        <w:rPr>
          <w:rFonts w:hint="eastAsia" w:eastAsia="仿宋_GB2312"/>
          <w:bCs/>
          <w:sz w:val="32"/>
          <w:szCs w:val="32"/>
        </w:rPr>
        <w:t>苏州市财政局、中国人民银行苏州市分行</w:t>
      </w:r>
    </w:p>
    <w:p>
      <w:pPr>
        <w:ind w:left="45"/>
        <w:rPr>
          <w:rFonts w:eastAsia="仿宋_GB2312"/>
          <w:bCs/>
          <w:sz w:val="32"/>
          <w:szCs w:val="32"/>
        </w:rPr>
      </w:pPr>
    </w:p>
    <w:p>
      <w:pPr>
        <w:ind w:left="45" w:firstLine="640" w:firstLineChars="200"/>
        <w:rPr>
          <w:rFonts w:eastAsia="仿宋_GB2312"/>
          <w:bCs/>
          <w:sz w:val="32"/>
          <w:szCs w:val="32"/>
        </w:rPr>
      </w:pPr>
      <w:r>
        <w:rPr>
          <w:rFonts w:eastAsia="仿宋_GB2312"/>
          <w:bCs/>
          <w:sz w:val="32"/>
          <w:szCs w:val="32"/>
        </w:rPr>
        <w:t>兹委托_____________先生/女士作为_____________（</w:t>
      </w:r>
      <w:r>
        <w:rPr>
          <w:rFonts w:hint="eastAsia" w:eastAsia="仿宋_GB2312"/>
          <w:bCs/>
          <w:sz w:val="32"/>
          <w:szCs w:val="32"/>
        </w:rPr>
        <w:t>投标人</w:t>
      </w:r>
      <w:r>
        <w:rPr>
          <w:rFonts w:eastAsia="仿宋_GB2312"/>
          <w:bCs/>
          <w:sz w:val="32"/>
          <w:szCs w:val="32"/>
        </w:rPr>
        <w:t>名称）的合法代理人，以本行名义参加</w:t>
      </w:r>
      <w:r>
        <w:rPr>
          <w:rFonts w:hint="eastAsia" w:eastAsia="仿宋_GB2312"/>
          <w:bCs/>
          <w:sz w:val="32"/>
          <w:szCs w:val="32"/>
        </w:rPr>
        <w:t>“</w:t>
      </w:r>
      <w:r>
        <w:rPr>
          <w:rFonts w:hint="eastAsia" w:ascii="仿宋_GB2312" w:eastAsia="仿宋_GB2312"/>
          <w:bCs/>
          <w:sz w:val="32"/>
          <w:szCs w:val="32"/>
        </w:rPr>
        <w:t>苏州市市级国库现金管理商业银行定期存款项目（2025年第3期，总第3期）</w:t>
      </w:r>
      <w:r>
        <w:rPr>
          <w:rFonts w:eastAsia="仿宋_GB2312"/>
          <w:bCs/>
          <w:sz w:val="32"/>
          <w:szCs w:val="32"/>
        </w:rPr>
        <w:t>的投标。</w:t>
      </w:r>
    </w:p>
    <w:p>
      <w:pPr>
        <w:ind w:left="45" w:firstLine="640" w:firstLineChars="200"/>
        <w:rPr>
          <w:rFonts w:eastAsia="仿宋_GB2312"/>
          <w:bCs/>
          <w:sz w:val="32"/>
          <w:szCs w:val="32"/>
        </w:rPr>
      </w:pPr>
      <w:r>
        <w:rPr>
          <w:rFonts w:eastAsia="仿宋_GB2312"/>
          <w:bCs/>
          <w:sz w:val="32"/>
          <w:szCs w:val="32"/>
        </w:rPr>
        <w:t>委托权限：参加投标</w:t>
      </w:r>
      <w:r>
        <w:rPr>
          <w:rFonts w:hint="eastAsia" w:eastAsia="仿宋_GB2312"/>
          <w:bCs/>
          <w:sz w:val="32"/>
          <w:szCs w:val="32"/>
        </w:rPr>
        <w:t>、开标</w:t>
      </w:r>
      <w:r>
        <w:rPr>
          <w:rFonts w:eastAsia="仿宋_GB2312"/>
          <w:bCs/>
          <w:sz w:val="32"/>
          <w:szCs w:val="32"/>
        </w:rPr>
        <w:t>，负责以本行名义处理一切与之有关的事务。</w:t>
      </w:r>
    </w:p>
    <w:p>
      <w:pPr>
        <w:ind w:left="45" w:firstLine="640" w:firstLineChars="200"/>
        <w:rPr>
          <w:rFonts w:eastAsia="仿宋_GB2312"/>
          <w:bCs/>
          <w:sz w:val="32"/>
          <w:szCs w:val="32"/>
        </w:rPr>
      </w:pPr>
      <w:r>
        <w:rPr>
          <w:rFonts w:eastAsia="仿宋_GB2312"/>
          <w:bCs/>
          <w:sz w:val="32"/>
          <w:szCs w:val="32"/>
        </w:rPr>
        <w:t>委托期间：本授权书自     年   月   日至     年   月   日有效。</w:t>
      </w:r>
    </w:p>
    <w:p>
      <w:pPr>
        <w:ind w:left="45"/>
        <w:rPr>
          <w:rFonts w:eastAsia="仿宋_GB2312"/>
          <w:bCs/>
          <w:sz w:val="32"/>
          <w:szCs w:val="32"/>
        </w:rPr>
      </w:pPr>
    </w:p>
    <w:p>
      <w:pPr>
        <w:ind w:left="45"/>
        <w:rPr>
          <w:rFonts w:eastAsia="仿宋_GB2312"/>
          <w:bCs/>
          <w:sz w:val="32"/>
          <w:szCs w:val="32"/>
        </w:rPr>
      </w:pPr>
    </w:p>
    <w:p>
      <w:pPr>
        <w:ind w:left="45"/>
        <w:rPr>
          <w:rFonts w:eastAsia="仿宋_GB2312"/>
          <w:bCs/>
          <w:sz w:val="32"/>
          <w:szCs w:val="32"/>
        </w:rPr>
      </w:pPr>
      <w:r>
        <w:rPr>
          <w:rFonts w:eastAsia="仿宋_GB2312"/>
          <w:bCs/>
          <w:sz w:val="32"/>
          <w:szCs w:val="32"/>
        </w:rPr>
        <w:t>委托人名称（公章）：           受托人（签章）：</w:t>
      </w:r>
    </w:p>
    <w:p>
      <w:pPr>
        <w:ind w:left="45"/>
        <w:rPr>
          <w:rFonts w:eastAsia="仿宋_GB2312"/>
          <w:bCs/>
          <w:sz w:val="32"/>
          <w:szCs w:val="32"/>
        </w:rPr>
      </w:pPr>
      <w:r>
        <w:rPr>
          <w:rFonts w:eastAsia="仿宋_GB2312"/>
          <w:bCs/>
          <w:sz w:val="32"/>
          <w:szCs w:val="32"/>
        </w:rPr>
        <w:t xml:space="preserve">法定代表人（签章）：           通讯地址： </w:t>
      </w:r>
    </w:p>
    <w:p>
      <w:pPr>
        <w:ind w:left="45"/>
        <w:rPr>
          <w:rFonts w:eastAsia="仿宋_GB2312"/>
          <w:bCs/>
          <w:sz w:val="32"/>
          <w:szCs w:val="32"/>
        </w:rPr>
      </w:pPr>
      <w:r>
        <w:rPr>
          <w:rFonts w:eastAsia="仿宋_GB2312"/>
          <w:bCs/>
          <w:sz w:val="32"/>
          <w:szCs w:val="32"/>
        </w:rPr>
        <w:t>电话：                        身份证号码：</w:t>
      </w:r>
    </w:p>
    <w:p>
      <w:pPr>
        <w:ind w:left="45"/>
        <w:rPr>
          <w:rFonts w:eastAsia="仿宋_GB2312"/>
          <w:bCs/>
          <w:sz w:val="32"/>
          <w:szCs w:val="32"/>
        </w:rPr>
      </w:pPr>
      <w:r>
        <w:rPr>
          <w:rFonts w:eastAsia="仿宋_GB2312"/>
          <w:bCs/>
          <w:sz w:val="32"/>
          <w:szCs w:val="32"/>
        </w:rPr>
        <w:t>传真：                        电话：</w:t>
      </w: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ind w:right="560"/>
        <w:jc w:val="left"/>
        <w:rPr>
          <w:rFonts w:ascii="黑体" w:hAnsi="黑体" w:eastAsia="黑体"/>
          <w:bCs/>
          <w:sz w:val="30"/>
          <w:szCs w:val="30"/>
        </w:rPr>
      </w:pPr>
      <w:r>
        <w:rPr>
          <w:rFonts w:hint="eastAsia" w:ascii="黑体" w:hAnsi="黑体" w:eastAsia="黑体"/>
          <w:bCs/>
          <w:sz w:val="30"/>
          <w:szCs w:val="30"/>
        </w:rPr>
        <w:t>附件4</w:t>
      </w:r>
    </w:p>
    <w:p>
      <w:pPr>
        <w:widowControl/>
        <w:jc w:val="left"/>
        <w:rPr>
          <w:rFonts w:eastAsia="仿宋_GB2312"/>
          <w:bCs/>
          <w:sz w:val="30"/>
          <w:szCs w:val="30"/>
        </w:rPr>
      </w:pPr>
    </w:p>
    <w:p>
      <w:pPr>
        <w:widowControl/>
        <w:jc w:val="center"/>
        <w:rPr>
          <w:rFonts w:eastAsia="方正仿宋_GBK"/>
          <w:b/>
          <w:sz w:val="32"/>
          <w:szCs w:val="32"/>
        </w:rPr>
      </w:pPr>
      <w:r>
        <w:rPr>
          <w:rFonts w:eastAsia="方正仿宋_GBK"/>
          <w:b/>
          <w:sz w:val="32"/>
          <w:szCs w:val="32"/>
        </w:rPr>
        <w:t>投标响应对照表</w:t>
      </w:r>
    </w:p>
    <w:p>
      <w:pPr>
        <w:widowControl/>
        <w:jc w:val="center"/>
        <w:rPr>
          <w:rFonts w:eastAsia="仿宋_GB2312"/>
          <w:bCs/>
          <w:sz w:val="30"/>
          <w:szCs w:val="30"/>
        </w:rPr>
      </w:pPr>
    </w:p>
    <w:tbl>
      <w:tblPr>
        <w:tblStyle w:val="14"/>
        <w:tblW w:w="61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2"/>
        <w:gridCol w:w="2071"/>
        <w:gridCol w:w="2154"/>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序号</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jc w:val="center"/>
              <w:rPr>
                <w:color w:val="000000"/>
                <w:kern w:val="0"/>
                <w:szCs w:val="21"/>
              </w:rPr>
            </w:pPr>
            <w:r>
              <w:rPr>
                <w:color w:val="000000"/>
                <w:kern w:val="0"/>
                <w:szCs w:val="21"/>
              </w:rPr>
              <w:t>招标文件中的评分项目</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数值</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kern w:val="0"/>
                <w:szCs w:val="21"/>
              </w:rPr>
              <w:t>在投标文件中的页码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1</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rFonts w:hint="eastAsia"/>
                <w:color w:val="000000"/>
                <w:kern w:val="0"/>
                <w:szCs w:val="21"/>
              </w:rPr>
              <w:t>核心一级资本充足率</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2</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color w:val="000000"/>
                <w:kern w:val="0"/>
                <w:szCs w:val="21"/>
              </w:rPr>
            </w:pPr>
            <w:r>
              <w:rPr>
                <w:color w:val="000000"/>
                <w:kern w:val="0"/>
                <w:szCs w:val="21"/>
              </w:rPr>
              <w:t>拨备覆盖率</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3</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color w:val="000000"/>
                <w:kern w:val="0"/>
                <w:szCs w:val="21"/>
              </w:rPr>
            </w:pPr>
            <w:r>
              <w:rPr>
                <w:color w:val="000000"/>
                <w:kern w:val="0"/>
                <w:szCs w:val="21"/>
              </w:rPr>
              <w:t> 流动性比例</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bl>
    <w:p>
      <w:pPr>
        <w:ind w:left="45"/>
        <w:rPr>
          <w:rFonts w:eastAsia="仿宋_GB2312"/>
          <w:bCs/>
          <w:sz w:val="30"/>
          <w:szCs w:val="30"/>
        </w:rPr>
      </w:pPr>
    </w:p>
    <w:p>
      <w:pPr>
        <w:ind w:left="45"/>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投标人授权代表签字：</w:t>
      </w:r>
    </w:p>
    <w:p>
      <w:pPr>
        <w:ind w:left="45"/>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投标人公章：</w:t>
      </w:r>
    </w:p>
    <w:p>
      <w:pPr>
        <w:adjustRightInd w:val="0"/>
        <w:snapToGrid w:val="0"/>
        <w:spacing w:line="300" w:lineRule="exact"/>
        <w:ind w:right="720"/>
        <w:jc w:val="right"/>
        <w:rPr>
          <w:rFonts w:eastAsia="黑体"/>
          <w:sz w:val="28"/>
          <w:szCs w:val="28"/>
        </w:rPr>
      </w:pPr>
      <w:r>
        <w:rPr>
          <w:rFonts w:hint="eastAsia" w:ascii="仿宋_GB2312" w:hAnsi="仿宋_GB2312" w:eastAsia="仿宋_GB2312" w:cs="仿宋_GB2312"/>
          <w:bCs/>
          <w:sz w:val="30"/>
          <w:szCs w:val="30"/>
        </w:rPr>
        <w:t>年      月      日</w:t>
      </w: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left="45"/>
        <w:jc w:val="right"/>
      </w:pPr>
    </w:p>
    <w:sectPr>
      <w:footerReference r:id="rId5" w:type="default"/>
      <w:type w:val="continuous"/>
      <w:pgSz w:w="11906" w:h="16838"/>
      <w:pgMar w:top="873" w:right="794" w:bottom="873" w:left="794" w:header="851" w:footer="454"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3C0041" w:csb1="A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等线" w:hAnsi="等线" w:eastAsia="等线" w:cs="Times New Roman"/>
        <w:kern w:val="0"/>
        <w:sz w:val="18"/>
        <w:szCs w:val="18"/>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w:r>
    <w:r>
      <w:rPr>
        <w:rFonts w:ascii="等线" w:hAnsi="等线" w:eastAsia="等线" w:cs="Times New Roman"/>
        <w:kern w:val="0"/>
        <w:sz w:val="18"/>
        <w:szCs w:val="18"/>
        <w:lang w:val="en-US" w:eastAsia="zh-CN" w:bidi="ar-SA"/>
      </w:rPr>
      <w:pict>
        <v:rect id="Rectangle 3" o:spid="_x0000_s1026"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等线" w:hAnsi="等线" w:eastAsia="等线" w:cs="Times New Roman"/>
        <w:kern w:val="0"/>
        <w:sz w:val="18"/>
        <w:szCs w:val="18"/>
        <w:lang w:val="en-US" w:eastAsia="zh-CN" w:bidi="ar-SA"/>
      </w:rPr>
      <w:pict>
        <v:rect id="Rectangle 2" o:spid="_x0000_s1027"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rect>
      </w:pict>
    </w:r>
    <w:r>
      <w:rPr>
        <w:rFonts w:ascii="等线" w:hAnsi="等线" w:eastAsia="等线" w:cs="Times New Roman"/>
        <w:kern w:val="0"/>
        <w:sz w:val="18"/>
        <w:szCs w:val="18"/>
        <w:lang w:val="en-US" w:eastAsia="zh-CN" w:bidi="ar-SA"/>
      </w:rPr>
      <w:pict>
        <v:rect id="Rectangle 1" o:spid="_x0000_s1028"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6767694">
    <w:nsid w:val="360C2D4E"/>
    <w:multiLevelType w:val="multilevel"/>
    <w:tmpl w:val="360C2D4E"/>
    <w:lvl w:ilvl="0" w:tentative="1">
      <w:start w:val="1"/>
      <w:numFmt w:val="japaneseCounting"/>
      <w:lvlText w:val="%1、"/>
      <w:lvlJc w:val="left"/>
      <w:pPr>
        <w:ind w:left="1335" w:hanging="720"/>
      </w:pPr>
      <w:rPr>
        <w:rFonts w:hint="default"/>
      </w:rPr>
    </w:lvl>
    <w:lvl w:ilvl="1" w:tentative="1">
      <w:start w:val="1"/>
      <w:numFmt w:val="lowerLetter"/>
      <w:lvlText w:val="%2)"/>
      <w:lvlJc w:val="left"/>
      <w:pPr>
        <w:ind w:left="1455" w:hanging="420"/>
      </w:pPr>
    </w:lvl>
    <w:lvl w:ilvl="2" w:tentative="1">
      <w:start w:val="1"/>
      <w:numFmt w:val="lowerRoman"/>
      <w:lvlText w:val="%3."/>
      <w:lvlJc w:val="right"/>
      <w:pPr>
        <w:ind w:left="1875" w:hanging="420"/>
      </w:pPr>
    </w:lvl>
    <w:lvl w:ilvl="3" w:tentative="1">
      <w:start w:val="1"/>
      <w:numFmt w:val="decimal"/>
      <w:lvlText w:val="%4."/>
      <w:lvlJc w:val="left"/>
      <w:pPr>
        <w:ind w:left="2295" w:hanging="420"/>
      </w:pPr>
    </w:lvl>
    <w:lvl w:ilvl="4" w:tentative="1">
      <w:start w:val="1"/>
      <w:numFmt w:val="lowerLetter"/>
      <w:lvlText w:val="%5)"/>
      <w:lvlJc w:val="left"/>
      <w:pPr>
        <w:ind w:left="2715" w:hanging="420"/>
      </w:pPr>
    </w:lvl>
    <w:lvl w:ilvl="5" w:tentative="1">
      <w:start w:val="1"/>
      <w:numFmt w:val="lowerRoman"/>
      <w:lvlText w:val="%6."/>
      <w:lvlJc w:val="right"/>
      <w:pPr>
        <w:ind w:left="3135" w:hanging="420"/>
      </w:pPr>
    </w:lvl>
    <w:lvl w:ilvl="6" w:tentative="1">
      <w:start w:val="1"/>
      <w:numFmt w:val="decimal"/>
      <w:lvlText w:val="%7."/>
      <w:lvlJc w:val="left"/>
      <w:pPr>
        <w:ind w:left="3555" w:hanging="420"/>
      </w:pPr>
    </w:lvl>
    <w:lvl w:ilvl="7" w:tentative="1">
      <w:start w:val="1"/>
      <w:numFmt w:val="lowerLetter"/>
      <w:lvlText w:val="%8)"/>
      <w:lvlJc w:val="left"/>
      <w:pPr>
        <w:ind w:left="3975" w:hanging="420"/>
      </w:pPr>
    </w:lvl>
    <w:lvl w:ilvl="8" w:tentative="1">
      <w:start w:val="1"/>
      <w:numFmt w:val="lowerRoman"/>
      <w:lvlText w:val="%9."/>
      <w:lvlJc w:val="right"/>
      <w:pPr>
        <w:ind w:left="4395" w:hanging="420"/>
      </w:pPr>
    </w:lvl>
  </w:abstractNum>
  <w:num w:numId="1">
    <w:abstractNumId w:val="9067676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ExMzk1MDQ1YmQ3NTVjMzhmYTUwZGZjN2EyMWZjZGUifQ=="/>
    <w:docVar w:name="KGWebUrl" w:val="https://oa.js.pbc.gov:443/seeyon/officeservlet"/>
  </w:docVars>
  <w:rsids>
    <w:rsidRoot w:val="002241E2"/>
    <w:rsid w:val="00004B98"/>
    <w:rsid w:val="00016768"/>
    <w:rsid w:val="00016B25"/>
    <w:rsid w:val="00026E45"/>
    <w:rsid w:val="000330AF"/>
    <w:rsid w:val="0003324B"/>
    <w:rsid w:val="00043777"/>
    <w:rsid w:val="00044A9C"/>
    <w:rsid w:val="00052E94"/>
    <w:rsid w:val="00057BFB"/>
    <w:rsid w:val="00062C6A"/>
    <w:rsid w:val="0006614F"/>
    <w:rsid w:val="00067B1E"/>
    <w:rsid w:val="00067D91"/>
    <w:rsid w:val="0007430E"/>
    <w:rsid w:val="0008583D"/>
    <w:rsid w:val="000860B1"/>
    <w:rsid w:val="00096E3D"/>
    <w:rsid w:val="000A0E43"/>
    <w:rsid w:val="000A4295"/>
    <w:rsid w:val="000C407B"/>
    <w:rsid w:val="000C71E1"/>
    <w:rsid w:val="000D2EF6"/>
    <w:rsid w:val="000D31C2"/>
    <w:rsid w:val="000E40C7"/>
    <w:rsid w:val="000F76E9"/>
    <w:rsid w:val="00110F07"/>
    <w:rsid w:val="00111097"/>
    <w:rsid w:val="00111D06"/>
    <w:rsid w:val="00112984"/>
    <w:rsid w:val="00113E30"/>
    <w:rsid w:val="00113E35"/>
    <w:rsid w:val="00115EFD"/>
    <w:rsid w:val="00130895"/>
    <w:rsid w:val="001325D5"/>
    <w:rsid w:val="001335EA"/>
    <w:rsid w:val="00134B6E"/>
    <w:rsid w:val="001522FF"/>
    <w:rsid w:val="00153ED2"/>
    <w:rsid w:val="00156AE7"/>
    <w:rsid w:val="0017282B"/>
    <w:rsid w:val="001753D6"/>
    <w:rsid w:val="00184667"/>
    <w:rsid w:val="001A0652"/>
    <w:rsid w:val="001A1F51"/>
    <w:rsid w:val="001A2B5E"/>
    <w:rsid w:val="001A4191"/>
    <w:rsid w:val="001A6001"/>
    <w:rsid w:val="001A7AEF"/>
    <w:rsid w:val="001B1DC7"/>
    <w:rsid w:val="001B425A"/>
    <w:rsid w:val="001C0067"/>
    <w:rsid w:val="001C355D"/>
    <w:rsid w:val="001C4518"/>
    <w:rsid w:val="001C5769"/>
    <w:rsid w:val="001C6F77"/>
    <w:rsid w:val="001C7462"/>
    <w:rsid w:val="001D4DF3"/>
    <w:rsid w:val="001E11E8"/>
    <w:rsid w:val="001E7D19"/>
    <w:rsid w:val="001F1313"/>
    <w:rsid w:val="001F13ED"/>
    <w:rsid w:val="001F39F6"/>
    <w:rsid w:val="00200881"/>
    <w:rsid w:val="00203D77"/>
    <w:rsid w:val="0020496D"/>
    <w:rsid w:val="002111AF"/>
    <w:rsid w:val="00211530"/>
    <w:rsid w:val="00212336"/>
    <w:rsid w:val="00217DF6"/>
    <w:rsid w:val="002241E2"/>
    <w:rsid w:val="0023384A"/>
    <w:rsid w:val="002339E7"/>
    <w:rsid w:val="002415D3"/>
    <w:rsid w:val="00244F22"/>
    <w:rsid w:val="00251577"/>
    <w:rsid w:val="00251AA1"/>
    <w:rsid w:val="00260344"/>
    <w:rsid w:val="00260A88"/>
    <w:rsid w:val="00261639"/>
    <w:rsid w:val="0026282E"/>
    <w:rsid w:val="00263183"/>
    <w:rsid w:val="00274F57"/>
    <w:rsid w:val="00275871"/>
    <w:rsid w:val="0027667F"/>
    <w:rsid w:val="00277C3B"/>
    <w:rsid w:val="00282DAB"/>
    <w:rsid w:val="00284E0B"/>
    <w:rsid w:val="00291331"/>
    <w:rsid w:val="00295973"/>
    <w:rsid w:val="00297D1F"/>
    <w:rsid w:val="002A0A79"/>
    <w:rsid w:val="002B020C"/>
    <w:rsid w:val="002B30F9"/>
    <w:rsid w:val="002C2860"/>
    <w:rsid w:val="002C3D45"/>
    <w:rsid w:val="002C4063"/>
    <w:rsid w:val="002C6A6F"/>
    <w:rsid w:val="002C7298"/>
    <w:rsid w:val="002D06F6"/>
    <w:rsid w:val="002E7CD5"/>
    <w:rsid w:val="002F01F3"/>
    <w:rsid w:val="002F0FEE"/>
    <w:rsid w:val="002F6E7D"/>
    <w:rsid w:val="00300792"/>
    <w:rsid w:val="00304EDB"/>
    <w:rsid w:val="00312AF8"/>
    <w:rsid w:val="00313834"/>
    <w:rsid w:val="0032549D"/>
    <w:rsid w:val="00325B59"/>
    <w:rsid w:val="00325D46"/>
    <w:rsid w:val="00326460"/>
    <w:rsid w:val="003325D8"/>
    <w:rsid w:val="003574D2"/>
    <w:rsid w:val="00363604"/>
    <w:rsid w:val="00366232"/>
    <w:rsid w:val="00377A84"/>
    <w:rsid w:val="00390DD8"/>
    <w:rsid w:val="003915C7"/>
    <w:rsid w:val="00395AAB"/>
    <w:rsid w:val="003A1046"/>
    <w:rsid w:val="003A20AF"/>
    <w:rsid w:val="003A29F7"/>
    <w:rsid w:val="003C0195"/>
    <w:rsid w:val="003C2083"/>
    <w:rsid w:val="003C7709"/>
    <w:rsid w:val="003D3085"/>
    <w:rsid w:val="003D58FE"/>
    <w:rsid w:val="003D7BE8"/>
    <w:rsid w:val="003E12B2"/>
    <w:rsid w:val="003F4115"/>
    <w:rsid w:val="00401A36"/>
    <w:rsid w:val="00403052"/>
    <w:rsid w:val="00413894"/>
    <w:rsid w:val="00426E6B"/>
    <w:rsid w:val="00434D8A"/>
    <w:rsid w:val="004447FE"/>
    <w:rsid w:val="00445C33"/>
    <w:rsid w:val="004461E7"/>
    <w:rsid w:val="00451A66"/>
    <w:rsid w:val="00452FE8"/>
    <w:rsid w:val="00455FF6"/>
    <w:rsid w:val="00456C1A"/>
    <w:rsid w:val="0046182F"/>
    <w:rsid w:val="004628AF"/>
    <w:rsid w:val="00463150"/>
    <w:rsid w:val="00463A63"/>
    <w:rsid w:val="00470B16"/>
    <w:rsid w:val="00473879"/>
    <w:rsid w:val="00480C52"/>
    <w:rsid w:val="004877AE"/>
    <w:rsid w:val="00496010"/>
    <w:rsid w:val="00497F7C"/>
    <w:rsid w:val="004A00F3"/>
    <w:rsid w:val="004A09E1"/>
    <w:rsid w:val="004B58DC"/>
    <w:rsid w:val="004C2675"/>
    <w:rsid w:val="004D159C"/>
    <w:rsid w:val="004D3615"/>
    <w:rsid w:val="004D53B6"/>
    <w:rsid w:val="004E41F5"/>
    <w:rsid w:val="004E4712"/>
    <w:rsid w:val="00503CAC"/>
    <w:rsid w:val="00515B94"/>
    <w:rsid w:val="005203B7"/>
    <w:rsid w:val="00521291"/>
    <w:rsid w:val="00532073"/>
    <w:rsid w:val="005403C6"/>
    <w:rsid w:val="00541663"/>
    <w:rsid w:val="00547333"/>
    <w:rsid w:val="00551C12"/>
    <w:rsid w:val="005535A7"/>
    <w:rsid w:val="00553DA3"/>
    <w:rsid w:val="0055557B"/>
    <w:rsid w:val="00564B7F"/>
    <w:rsid w:val="00565027"/>
    <w:rsid w:val="005650CB"/>
    <w:rsid w:val="00570123"/>
    <w:rsid w:val="00572833"/>
    <w:rsid w:val="00573E86"/>
    <w:rsid w:val="005776C0"/>
    <w:rsid w:val="00581899"/>
    <w:rsid w:val="005854DE"/>
    <w:rsid w:val="00593FFF"/>
    <w:rsid w:val="0059684C"/>
    <w:rsid w:val="005B242C"/>
    <w:rsid w:val="005C0EE3"/>
    <w:rsid w:val="005D030C"/>
    <w:rsid w:val="005D68D4"/>
    <w:rsid w:val="005D7DB3"/>
    <w:rsid w:val="005E1786"/>
    <w:rsid w:val="005E1C9B"/>
    <w:rsid w:val="005E51CE"/>
    <w:rsid w:val="00617662"/>
    <w:rsid w:val="0062651B"/>
    <w:rsid w:val="00631D3B"/>
    <w:rsid w:val="00632872"/>
    <w:rsid w:val="00632C92"/>
    <w:rsid w:val="00633D2B"/>
    <w:rsid w:val="0063568E"/>
    <w:rsid w:val="00641AF1"/>
    <w:rsid w:val="0064670D"/>
    <w:rsid w:val="0065143C"/>
    <w:rsid w:val="006569BD"/>
    <w:rsid w:val="006608CA"/>
    <w:rsid w:val="0066295F"/>
    <w:rsid w:val="00667D33"/>
    <w:rsid w:val="00680D52"/>
    <w:rsid w:val="0068464C"/>
    <w:rsid w:val="00686F13"/>
    <w:rsid w:val="00690773"/>
    <w:rsid w:val="006A3007"/>
    <w:rsid w:val="006A3CF2"/>
    <w:rsid w:val="006A472F"/>
    <w:rsid w:val="006A6987"/>
    <w:rsid w:val="006B4CEB"/>
    <w:rsid w:val="006C3824"/>
    <w:rsid w:val="006C4D3B"/>
    <w:rsid w:val="006C553D"/>
    <w:rsid w:val="006D1161"/>
    <w:rsid w:val="006D118F"/>
    <w:rsid w:val="006D7017"/>
    <w:rsid w:val="006D71D1"/>
    <w:rsid w:val="006E3414"/>
    <w:rsid w:val="006E54D8"/>
    <w:rsid w:val="006E6D3C"/>
    <w:rsid w:val="006F1C71"/>
    <w:rsid w:val="00717127"/>
    <w:rsid w:val="007223B2"/>
    <w:rsid w:val="00723B5E"/>
    <w:rsid w:val="00723DC3"/>
    <w:rsid w:val="00730264"/>
    <w:rsid w:val="0073174E"/>
    <w:rsid w:val="00755935"/>
    <w:rsid w:val="0076127A"/>
    <w:rsid w:val="007619E6"/>
    <w:rsid w:val="00772CF4"/>
    <w:rsid w:val="00781C51"/>
    <w:rsid w:val="00793E23"/>
    <w:rsid w:val="00796041"/>
    <w:rsid w:val="00796F87"/>
    <w:rsid w:val="007A5D05"/>
    <w:rsid w:val="007B1AED"/>
    <w:rsid w:val="007B2220"/>
    <w:rsid w:val="007B4EC0"/>
    <w:rsid w:val="007C047A"/>
    <w:rsid w:val="007C2735"/>
    <w:rsid w:val="007C3017"/>
    <w:rsid w:val="007C4CA9"/>
    <w:rsid w:val="007D53D6"/>
    <w:rsid w:val="007F2D92"/>
    <w:rsid w:val="008041B1"/>
    <w:rsid w:val="00805062"/>
    <w:rsid w:val="00805D5E"/>
    <w:rsid w:val="00806A82"/>
    <w:rsid w:val="008264FD"/>
    <w:rsid w:val="00832CE3"/>
    <w:rsid w:val="00835D0A"/>
    <w:rsid w:val="0084165C"/>
    <w:rsid w:val="00850FE7"/>
    <w:rsid w:val="008535B2"/>
    <w:rsid w:val="00870B72"/>
    <w:rsid w:val="008826A4"/>
    <w:rsid w:val="00891879"/>
    <w:rsid w:val="00891E0B"/>
    <w:rsid w:val="008A022C"/>
    <w:rsid w:val="008C36E8"/>
    <w:rsid w:val="008C6111"/>
    <w:rsid w:val="008E1471"/>
    <w:rsid w:val="008E3852"/>
    <w:rsid w:val="008E3C49"/>
    <w:rsid w:val="008E3D87"/>
    <w:rsid w:val="008E5020"/>
    <w:rsid w:val="008E5418"/>
    <w:rsid w:val="008E709D"/>
    <w:rsid w:val="008E71CC"/>
    <w:rsid w:val="008F1BC6"/>
    <w:rsid w:val="008F3DB7"/>
    <w:rsid w:val="00910212"/>
    <w:rsid w:val="00912F11"/>
    <w:rsid w:val="00916614"/>
    <w:rsid w:val="00925864"/>
    <w:rsid w:val="0092623E"/>
    <w:rsid w:val="00934366"/>
    <w:rsid w:val="00935790"/>
    <w:rsid w:val="00943829"/>
    <w:rsid w:val="0094661E"/>
    <w:rsid w:val="00946752"/>
    <w:rsid w:val="00953ED4"/>
    <w:rsid w:val="00962B97"/>
    <w:rsid w:val="00964F17"/>
    <w:rsid w:val="00967A89"/>
    <w:rsid w:val="00967B64"/>
    <w:rsid w:val="009708A0"/>
    <w:rsid w:val="00980713"/>
    <w:rsid w:val="00985BE1"/>
    <w:rsid w:val="009924EB"/>
    <w:rsid w:val="00992B35"/>
    <w:rsid w:val="00995F00"/>
    <w:rsid w:val="009A7D10"/>
    <w:rsid w:val="009B50E6"/>
    <w:rsid w:val="009B6B52"/>
    <w:rsid w:val="009C6B46"/>
    <w:rsid w:val="009D0597"/>
    <w:rsid w:val="009D5D7D"/>
    <w:rsid w:val="009E72FD"/>
    <w:rsid w:val="009E7AA4"/>
    <w:rsid w:val="009F093D"/>
    <w:rsid w:val="009F7FE0"/>
    <w:rsid w:val="00A00E08"/>
    <w:rsid w:val="00A01364"/>
    <w:rsid w:val="00A05B79"/>
    <w:rsid w:val="00A13B81"/>
    <w:rsid w:val="00A32934"/>
    <w:rsid w:val="00A4005F"/>
    <w:rsid w:val="00A403CE"/>
    <w:rsid w:val="00A44E49"/>
    <w:rsid w:val="00A46B63"/>
    <w:rsid w:val="00A50B9F"/>
    <w:rsid w:val="00A51B08"/>
    <w:rsid w:val="00A541C8"/>
    <w:rsid w:val="00A54227"/>
    <w:rsid w:val="00A61CB6"/>
    <w:rsid w:val="00A624AD"/>
    <w:rsid w:val="00A63FA8"/>
    <w:rsid w:val="00A6746D"/>
    <w:rsid w:val="00A67D3C"/>
    <w:rsid w:val="00A71D0E"/>
    <w:rsid w:val="00A77BDD"/>
    <w:rsid w:val="00A81D30"/>
    <w:rsid w:val="00A85A83"/>
    <w:rsid w:val="00A876FC"/>
    <w:rsid w:val="00A90F88"/>
    <w:rsid w:val="00A936B2"/>
    <w:rsid w:val="00AB4CA1"/>
    <w:rsid w:val="00AC0953"/>
    <w:rsid w:val="00AC1D23"/>
    <w:rsid w:val="00AC5238"/>
    <w:rsid w:val="00AE1FD1"/>
    <w:rsid w:val="00AE4FCF"/>
    <w:rsid w:val="00AE6539"/>
    <w:rsid w:val="00AF532C"/>
    <w:rsid w:val="00AF5649"/>
    <w:rsid w:val="00AF57A8"/>
    <w:rsid w:val="00AF7437"/>
    <w:rsid w:val="00AF7889"/>
    <w:rsid w:val="00B043A7"/>
    <w:rsid w:val="00B04A25"/>
    <w:rsid w:val="00B0523C"/>
    <w:rsid w:val="00B1211F"/>
    <w:rsid w:val="00B14127"/>
    <w:rsid w:val="00B155F2"/>
    <w:rsid w:val="00B26691"/>
    <w:rsid w:val="00B32489"/>
    <w:rsid w:val="00B37309"/>
    <w:rsid w:val="00B4733F"/>
    <w:rsid w:val="00B54654"/>
    <w:rsid w:val="00B61D76"/>
    <w:rsid w:val="00B62A2B"/>
    <w:rsid w:val="00B678EB"/>
    <w:rsid w:val="00B75149"/>
    <w:rsid w:val="00B76FE6"/>
    <w:rsid w:val="00B81F7C"/>
    <w:rsid w:val="00B870CE"/>
    <w:rsid w:val="00B90FCD"/>
    <w:rsid w:val="00B937BF"/>
    <w:rsid w:val="00BA4EB0"/>
    <w:rsid w:val="00BA529D"/>
    <w:rsid w:val="00BB5782"/>
    <w:rsid w:val="00BC39E5"/>
    <w:rsid w:val="00BC747F"/>
    <w:rsid w:val="00BE104F"/>
    <w:rsid w:val="00BE226E"/>
    <w:rsid w:val="00C044AA"/>
    <w:rsid w:val="00C05527"/>
    <w:rsid w:val="00C07A80"/>
    <w:rsid w:val="00C144A3"/>
    <w:rsid w:val="00C21906"/>
    <w:rsid w:val="00C2231F"/>
    <w:rsid w:val="00C27FEA"/>
    <w:rsid w:val="00C34C3C"/>
    <w:rsid w:val="00C35098"/>
    <w:rsid w:val="00C42722"/>
    <w:rsid w:val="00C52E87"/>
    <w:rsid w:val="00C545EB"/>
    <w:rsid w:val="00C55498"/>
    <w:rsid w:val="00C57AB5"/>
    <w:rsid w:val="00C65471"/>
    <w:rsid w:val="00C65EA2"/>
    <w:rsid w:val="00C71E88"/>
    <w:rsid w:val="00C80E17"/>
    <w:rsid w:val="00C87F3D"/>
    <w:rsid w:val="00CA69F3"/>
    <w:rsid w:val="00CB3D1B"/>
    <w:rsid w:val="00CB4871"/>
    <w:rsid w:val="00CB5C1B"/>
    <w:rsid w:val="00CC5F76"/>
    <w:rsid w:val="00CC6718"/>
    <w:rsid w:val="00CD0ED5"/>
    <w:rsid w:val="00CD1CA0"/>
    <w:rsid w:val="00CD238D"/>
    <w:rsid w:val="00CD2562"/>
    <w:rsid w:val="00CD59B8"/>
    <w:rsid w:val="00CE0A5A"/>
    <w:rsid w:val="00CE114A"/>
    <w:rsid w:val="00CE55F0"/>
    <w:rsid w:val="00CF070C"/>
    <w:rsid w:val="00CF1A78"/>
    <w:rsid w:val="00CF1EBC"/>
    <w:rsid w:val="00CF2505"/>
    <w:rsid w:val="00CF67BC"/>
    <w:rsid w:val="00D05257"/>
    <w:rsid w:val="00D0650C"/>
    <w:rsid w:val="00D0746C"/>
    <w:rsid w:val="00D107B6"/>
    <w:rsid w:val="00D11A19"/>
    <w:rsid w:val="00D17CF5"/>
    <w:rsid w:val="00D22911"/>
    <w:rsid w:val="00D45A1A"/>
    <w:rsid w:val="00D55844"/>
    <w:rsid w:val="00D56EC4"/>
    <w:rsid w:val="00D6199A"/>
    <w:rsid w:val="00D67BA2"/>
    <w:rsid w:val="00D71C09"/>
    <w:rsid w:val="00D73D4F"/>
    <w:rsid w:val="00D75664"/>
    <w:rsid w:val="00D81FD1"/>
    <w:rsid w:val="00D87F59"/>
    <w:rsid w:val="00D917B0"/>
    <w:rsid w:val="00D92CA3"/>
    <w:rsid w:val="00D959C2"/>
    <w:rsid w:val="00D96AFF"/>
    <w:rsid w:val="00DA34A5"/>
    <w:rsid w:val="00DA3C8E"/>
    <w:rsid w:val="00DA4DEC"/>
    <w:rsid w:val="00DA5A50"/>
    <w:rsid w:val="00DA5DB8"/>
    <w:rsid w:val="00DA5EEA"/>
    <w:rsid w:val="00DA7D08"/>
    <w:rsid w:val="00DB228F"/>
    <w:rsid w:val="00DD0B38"/>
    <w:rsid w:val="00DD1E16"/>
    <w:rsid w:val="00DD4F7D"/>
    <w:rsid w:val="00DE1191"/>
    <w:rsid w:val="00DE2BD6"/>
    <w:rsid w:val="00DE479F"/>
    <w:rsid w:val="00DE6523"/>
    <w:rsid w:val="00E14340"/>
    <w:rsid w:val="00E26B58"/>
    <w:rsid w:val="00E350A2"/>
    <w:rsid w:val="00E41D4A"/>
    <w:rsid w:val="00E44607"/>
    <w:rsid w:val="00E46D0C"/>
    <w:rsid w:val="00E50A63"/>
    <w:rsid w:val="00E57EF3"/>
    <w:rsid w:val="00E6057C"/>
    <w:rsid w:val="00E72755"/>
    <w:rsid w:val="00E73B27"/>
    <w:rsid w:val="00E74D28"/>
    <w:rsid w:val="00E751FA"/>
    <w:rsid w:val="00E836B9"/>
    <w:rsid w:val="00E86729"/>
    <w:rsid w:val="00E87798"/>
    <w:rsid w:val="00E90558"/>
    <w:rsid w:val="00E92BF5"/>
    <w:rsid w:val="00EC1496"/>
    <w:rsid w:val="00EC3F30"/>
    <w:rsid w:val="00EC4AA9"/>
    <w:rsid w:val="00ED1018"/>
    <w:rsid w:val="00ED1251"/>
    <w:rsid w:val="00ED3A5F"/>
    <w:rsid w:val="00ED7B35"/>
    <w:rsid w:val="00EE03C0"/>
    <w:rsid w:val="00EF33DB"/>
    <w:rsid w:val="00EF5721"/>
    <w:rsid w:val="00EF7D2E"/>
    <w:rsid w:val="00F21F39"/>
    <w:rsid w:val="00F331A0"/>
    <w:rsid w:val="00F35F1E"/>
    <w:rsid w:val="00F42042"/>
    <w:rsid w:val="00F428DF"/>
    <w:rsid w:val="00F512A9"/>
    <w:rsid w:val="00F5316C"/>
    <w:rsid w:val="00F54F9E"/>
    <w:rsid w:val="00F561E7"/>
    <w:rsid w:val="00F665E9"/>
    <w:rsid w:val="00F738CB"/>
    <w:rsid w:val="00F749E2"/>
    <w:rsid w:val="00F76BEE"/>
    <w:rsid w:val="00F80C28"/>
    <w:rsid w:val="00F81F62"/>
    <w:rsid w:val="00F84D70"/>
    <w:rsid w:val="00F86A09"/>
    <w:rsid w:val="00F918FC"/>
    <w:rsid w:val="00F928EA"/>
    <w:rsid w:val="00F954AB"/>
    <w:rsid w:val="00FA1618"/>
    <w:rsid w:val="00FA6487"/>
    <w:rsid w:val="00FB0F38"/>
    <w:rsid w:val="00FB14AE"/>
    <w:rsid w:val="00FB233B"/>
    <w:rsid w:val="00FB4C41"/>
    <w:rsid w:val="00FB5287"/>
    <w:rsid w:val="00FC526D"/>
    <w:rsid w:val="00FC63AF"/>
    <w:rsid w:val="00FD12B7"/>
    <w:rsid w:val="00FD201C"/>
    <w:rsid w:val="00FD2F46"/>
    <w:rsid w:val="00FD4A45"/>
    <w:rsid w:val="00FD7A4B"/>
    <w:rsid w:val="00FE0EAF"/>
    <w:rsid w:val="00FE1483"/>
    <w:rsid w:val="00FE54AB"/>
    <w:rsid w:val="00FF0A14"/>
    <w:rsid w:val="00FF0ED4"/>
    <w:rsid w:val="00FF704F"/>
    <w:rsid w:val="00FF7494"/>
    <w:rsid w:val="01287E75"/>
    <w:rsid w:val="01941722"/>
    <w:rsid w:val="01E34D25"/>
    <w:rsid w:val="02386CC9"/>
    <w:rsid w:val="03AE0B18"/>
    <w:rsid w:val="03C70780"/>
    <w:rsid w:val="03D951E0"/>
    <w:rsid w:val="04146352"/>
    <w:rsid w:val="042F286F"/>
    <w:rsid w:val="04737D6D"/>
    <w:rsid w:val="048D2705"/>
    <w:rsid w:val="04A35934"/>
    <w:rsid w:val="04F516CE"/>
    <w:rsid w:val="053F50EB"/>
    <w:rsid w:val="063B71A6"/>
    <w:rsid w:val="06407B00"/>
    <w:rsid w:val="064B1F47"/>
    <w:rsid w:val="068A7149"/>
    <w:rsid w:val="068B65E6"/>
    <w:rsid w:val="072370F4"/>
    <w:rsid w:val="072E19D4"/>
    <w:rsid w:val="074E358D"/>
    <w:rsid w:val="07EF7893"/>
    <w:rsid w:val="087C3049"/>
    <w:rsid w:val="08AD4FB3"/>
    <w:rsid w:val="0939238E"/>
    <w:rsid w:val="09523C57"/>
    <w:rsid w:val="09750994"/>
    <w:rsid w:val="09A20735"/>
    <w:rsid w:val="0A831822"/>
    <w:rsid w:val="0AA97A8C"/>
    <w:rsid w:val="0B0D77B0"/>
    <w:rsid w:val="0B7C5866"/>
    <w:rsid w:val="0BF7192C"/>
    <w:rsid w:val="0C840297"/>
    <w:rsid w:val="0D0515D6"/>
    <w:rsid w:val="0DB4420C"/>
    <w:rsid w:val="0E3F636E"/>
    <w:rsid w:val="0EBF433E"/>
    <w:rsid w:val="0F070A5D"/>
    <w:rsid w:val="0F332848"/>
    <w:rsid w:val="10774D14"/>
    <w:rsid w:val="12124AB5"/>
    <w:rsid w:val="12160F3D"/>
    <w:rsid w:val="124F6B19"/>
    <w:rsid w:val="1252666E"/>
    <w:rsid w:val="126B2BC5"/>
    <w:rsid w:val="135E6CD6"/>
    <w:rsid w:val="141B770F"/>
    <w:rsid w:val="14520789"/>
    <w:rsid w:val="145271E3"/>
    <w:rsid w:val="14B233B3"/>
    <w:rsid w:val="151505A6"/>
    <w:rsid w:val="15360267"/>
    <w:rsid w:val="156B364A"/>
    <w:rsid w:val="15B87DAF"/>
    <w:rsid w:val="15C76A35"/>
    <w:rsid w:val="15FA0817"/>
    <w:rsid w:val="161D329E"/>
    <w:rsid w:val="162F270F"/>
    <w:rsid w:val="16595D44"/>
    <w:rsid w:val="16795C6E"/>
    <w:rsid w:val="16A63358"/>
    <w:rsid w:val="16CE1BAC"/>
    <w:rsid w:val="17D62327"/>
    <w:rsid w:val="17E47700"/>
    <w:rsid w:val="183210DE"/>
    <w:rsid w:val="186F561B"/>
    <w:rsid w:val="18A27E1A"/>
    <w:rsid w:val="18C1247C"/>
    <w:rsid w:val="18DB5458"/>
    <w:rsid w:val="19216AC6"/>
    <w:rsid w:val="19C0314D"/>
    <w:rsid w:val="1A0D57CA"/>
    <w:rsid w:val="1A790538"/>
    <w:rsid w:val="1A7F28CC"/>
    <w:rsid w:val="1AB13E31"/>
    <w:rsid w:val="1ADB29A0"/>
    <w:rsid w:val="1B165C7C"/>
    <w:rsid w:val="1B171500"/>
    <w:rsid w:val="1B2F45D2"/>
    <w:rsid w:val="1B8617B4"/>
    <w:rsid w:val="1B8D0422"/>
    <w:rsid w:val="1BE06DC2"/>
    <w:rsid w:val="1BE4717E"/>
    <w:rsid w:val="1C2360A7"/>
    <w:rsid w:val="1C332D43"/>
    <w:rsid w:val="1C992917"/>
    <w:rsid w:val="1CAD7658"/>
    <w:rsid w:val="1CAE031C"/>
    <w:rsid w:val="1D1C05E0"/>
    <w:rsid w:val="1E781BB7"/>
    <w:rsid w:val="1FA11974"/>
    <w:rsid w:val="1FC93A32"/>
    <w:rsid w:val="206B1499"/>
    <w:rsid w:val="20E5542C"/>
    <w:rsid w:val="225408CE"/>
    <w:rsid w:val="22584674"/>
    <w:rsid w:val="22B10EF6"/>
    <w:rsid w:val="22DB7B3C"/>
    <w:rsid w:val="230A4E08"/>
    <w:rsid w:val="23D60888"/>
    <w:rsid w:val="23F6158E"/>
    <w:rsid w:val="24053DFB"/>
    <w:rsid w:val="24A55EAE"/>
    <w:rsid w:val="24DD0BE4"/>
    <w:rsid w:val="252D7A98"/>
    <w:rsid w:val="252F71B4"/>
    <w:rsid w:val="25CB19E0"/>
    <w:rsid w:val="268C6C60"/>
    <w:rsid w:val="270F17A0"/>
    <w:rsid w:val="273419E0"/>
    <w:rsid w:val="27711845"/>
    <w:rsid w:val="27F309CE"/>
    <w:rsid w:val="27FD7BEF"/>
    <w:rsid w:val="285A17C2"/>
    <w:rsid w:val="286D07E3"/>
    <w:rsid w:val="28A94F01"/>
    <w:rsid w:val="28F55481"/>
    <w:rsid w:val="29BA0485"/>
    <w:rsid w:val="2A16410B"/>
    <w:rsid w:val="2A17081E"/>
    <w:rsid w:val="2A7C0543"/>
    <w:rsid w:val="2ACF254B"/>
    <w:rsid w:val="2AF8208B"/>
    <w:rsid w:val="2B070127"/>
    <w:rsid w:val="2B7A135F"/>
    <w:rsid w:val="2BAF7AD8"/>
    <w:rsid w:val="2C160C54"/>
    <w:rsid w:val="2C9223D4"/>
    <w:rsid w:val="2DAC3BFD"/>
    <w:rsid w:val="2E467987"/>
    <w:rsid w:val="2E710767"/>
    <w:rsid w:val="2E9F06D2"/>
    <w:rsid w:val="2F0E473E"/>
    <w:rsid w:val="2FF83D9F"/>
    <w:rsid w:val="30347922"/>
    <w:rsid w:val="30703903"/>
    <w:rsid w:val="308050E6"/>
    <w:rsid w:val="30C9535E"/>
    <w:rsid w:val="30D4724F"/>
    <w:rsid w:val="30D92FF5"/>
    <w:rsid w:val="30EE0808"/>
    <w:rsid w:val="30F51FA8"/>
    <w:rsid w:val="3146076A"/>
    <w:rsid w:val="3169239F"/>
    <w:rsid w:val="317E4865"/>
    <w:rsid w:val="31A62204"/>
    <w:rsid w:val="32326030"/>
    <w:rsid w:val="323D2FCF"/>
    <w:rsid w:val="328B0491"/>
    <w:rsid w:val="336D04EB"/>
    <w:rsid w:val="336F7271"/>
    <w:rsid w:val="33BB0269"/>
    <w:rsid w:val="345C145C"/>
    <w:rsid w:val="34AD6BEC"/>
    <w:rsid w:val="34C654F7"/>
    <w:rsid w:val="352503DF"/>
    <w:rsid w:val="353201D7"/>
    <w:rsid w:val="35923A74"/>
    <w:rsid w:val="35FF0824"/>
    <w:rsid w:val="36096B03"/>
    <w:rsid w:val="36630549"/>
    <w:rsid w:val="36B144FC"/>
    <w:rsid w:val="36C7606F"/>
    <w:rsid w:val="3712187E"/>
    <w:rsid w:val="37273EA7"/>
    <w:rsid w:val="378E0036"/>
    <w:rsid w:val="37C91115"/>
    <w:rsid w:val="388F23E8"/>
    <w:rsid w:val="390A7522"/>
    <w:rsid w:val="391B523E"/>
    <w:rsid w:val="3954217B"/>
    <w:rsid w:val="3A3C0B99"/>
    <w:rsid w:val="3A6442DC"/>
    <w:rsid w:val="3B4E6B14"/>
    <w:rsid w:val="3B8069B0"/>
    <w:rsid w:val="3B882DB9"/>
    <w:rsid w:val="3BF75841"/>
    <w:rsid w:val="3C3C60E0"/>
    <w:rsid w:val="3C5B6995"/>
    <w:rsid w:val="3C633FFF"/>
    <w:rsid w:val="3CC74788"/>
    <w:rsid w:val="3CCD7BCD"/>
    <w:rsid w:val="3CED12F9"/>
    <w:rsid w:val="3D070A6E"/>
    <w:rsid w:val="3DAF37BA"/>
    <w:rsid w:val="3E7F34DF"/>
    <w:rsid w:val="3EC42287"/>
    <w:rsid w:val="3F045DDA"/>
    <w:rsid w:val="3F0D4C16"/>
    <w:rsid w:val="3F6F01A1"/>
    <w:rsid w:val="3F8810CB"/>
    <w:rsid w:val="3F981365"/>
    <w:rsid w:val="401C02BA"/>
    <w:rsid w:val="403D1F8B"/>
    <w:rsid w:val="408A127D"/>
    <w:rsid w:val="40BB01C3"/>
    <w:rsid w:val="40BE4A28"/>
    <w:rsid w:val="40C377CE"/>
    <w:rsid w:val="40DC06F8"/>
    <w:rsid w:val="40FE4130"/>
    <w:rsid w:val="41B525D9"/>
    <w:rsid w:val="426A2A34"/>
    <w:rsid w:val="427B49FB"/>
    <w:rsid w:val="429A6B58"/>
    <w:rsid w:val="42BB570A"/>
    <w:rsid w:val="42C739B7"/>
    <w:rsid w:val="42D01D1F"/>
    <w:rsid w:val="42D1648B"/>
    <w:rsid w:val="43573BC7"/>
    <w:rsid w:val="4455654B"/>
    <w:rsid w:val="447E0820"/>
    <w:rsid w:val="451D4EF5"/>
    <w:rsid w:val="453C66A3"/>
    <w:rsid w:val="45B914F0"/>
    <w:rsid w:val="45BE5977"/>
    <w:rsid w:val="46093856"/>
    <w:rsid w:val="460957E5"/>
    <w:rsid w:val="46843F07"/>
    <w:rsid w:val="469C2DE7"/>
    <w:rsid w:val="46A73CAC"/>
    <w:rsid w:val="476B4739"/>
    <w:rsid w:val="47EA630C"/>
    <w:rsid w:val="48174852"/>
    <w:rsid w:val="48711A69"/>
    <w:rsid w:val="49FA3AEE"/>
    <w:rsid w:val="4A135FA2"/>
    <w:rsid w:val="4AA5308C"/>
    <w:rsid w:val="4B977757"/>
    <w:rsid w:val="4BA86CAC"/>
    <w:rsid w:val="4BC041F4"/>
    <w:rsid w:val="4BD56877"/>
    <w:rsid w:val="4BDC13B1"/>
    <w:rsid w:val="4C1A7D95"/>
    <w:rsid w:val="4C1F59F2"/>
    <w:rsid w:val="4C4B660F"/>
    <w:rsid w:val="4C5F67DB"/>
    <w:rsid w:val="4D043F1E"/>
    <w:rsid w:val="4D3B6D09"/>
    <w:rsid w:val="4D811DB6"/>
    <w:rsid w:val="4D925F16"/>
    <w:rsid w:val="4DA64574"/>
    <w:rsid w:val="4F1E34D1"/>
    <w:rsid w:val="4F854215"/>
    <w:rsid w:val="4FD14FEC"/>
    <w:rsid w:val="4FDD1AD8"/>
    <w:rsid w:val="50A871E1"/>
    <w:rsid w:val="515A7547"/>
    <w:rsid w:val="51770258"/>
    <w:rsid w:val="52443688"/>
    <w:rsid w:val="524E3F98"/>
    <w:rsid w:val="52550A27"/>
    <w:rsid w:val="528662F0"/>
    <w:rsid w:val="528C01F9"/>
    <w:rsid w:val="53425092"/>
    <w:rsid w:val="541136D9"/>
    <w:rsid w:val="541B39E3"/>
    <w:rsid w:val="54487282"/>
    <w:rsid w:val="54F860F5"/>
    <w:rsid w:val="54FE61C9"/>
    <w:rsid w:val="56AD6461"/>
    <w:rsid w:val="56D67884"/>
    <w:rsid w:val="571F0F7D"/>
    <w:rsid w:val="57555BD4"/>
    <w:rsid w:val="57871C26"/>
    <w:rsid w:val="57D91A30"/>
    <w:rsid w:val="580F7A9C"/>
    <w:rsid w:val="585528CF"/>
    <w:rsid w:val="58755DC2"/>
    <w:rsid w:val="58BB32F3"/>
    <w:rsid w:val="594B060D"/>
    <w:rsid w:val="5AAA3666"/>
    <w:rsid w:val="5AAB4D51"/>
    <w:rsid w:val="5AD0568A"/>
    <w:rsid w:val="5B171BF9"/>
    <w:rsid w:val="5B52445C"/>
    <w:rsid w:val="5B904522"/>
    <w:rsid w:val="5BA23FE5"/>
    <w:rsid w:val="5BA746B4"/>
    <w:rsid w:val="5BB82905"/>
    <w:rsid w:val="5BE64901"/>
    <w:rsid w:val="5C461114"/>
    <w:rsid w:val="5C4A56F7"/>
    <w:rsid w:val="5C63696B"/>
    <w:rsid w:val="5D612981"/>
    <w:rsid w:val="5DB77E4C"/>
    <w:rsid w:val="5DBD6FCC"/>
    <w:rsid w:val="5DE8430A"/>
    <w:rsid w:val="5DEA2855"/>
    <w:rsid w:val="5DF66A37"/>
    <w:rsid w:val="5E73004A"/>
    <w:rsid w:val="5E8A3C9C"/>
    <w:rsid w:val="5E9E7ABA"/>
    <w:rsid w:val="5EC02B18"/>
    <w:rsid w:val="5ECB4491"/>
    <w:rsid w:val="5ED16A2B"/>
    <w:rsid w:val="5EDE3BFC"/>
    <w:rsid w:val="5EE73DC1"/>
    <w:rsid w:val="5F0862C3"/>
    <w:rsid w:val="5F110489"/>
    <w:rsid w:val="5F1E260F"/>
    <w:rsid w:val="5F220723"/>
    <w:rsid w:val="5F500BF7"/>
    <w:rsid w:val="5FA41ADB"/>
    <w:rsid w:val="5FAD78B7"/>
    <w:rsid w:val="5FB71752"/>
    <w:rsid w:val="5FFF3C1A"/>
    <w:rsid w:val="6095391B"/>
    <w:rsid w:val="610E11C8"/>
    <w:rsid w:val="616A6D05"/>
    <w:rsid w:val="61DF4980"/>
    <w:rsid w:val="627C139F"/>
    <w:rsid w:val="62AB7F82"/>
    <w:rsid w:val="62AE2E73"/>
    <w:rsid w:val="62D00E29"/>
    <w:rsid w:val="62E80D57"/>
    <w:rsid w:val="632E1853"/>
    <w:rsid w:val="6375274E"/>
    <w:rsid w:val="641920C5"/>
    <w:rsid w:val="64243B52"/>
    <w:rsid w:val="64A14496"/>
    <w:rsid w:val="64A27E2A"/>
    <w:rsid w:val="65357399"/>
    <w:rsid w:val="65392C47"/>
    <w:rsid w:val="6567306B"/>
    <w:rsid w:val="65C45983"/>
    <w:rsid w:val="65D514A1"/>
    <w:rsid w:val="66A0319D"/>
    <w:rsid w:val="66B2560C"/>
    <w:rsid w:val="66C45526"/>
    <w:rsid w:val="66F86C8A"/>
    <w:rsid w:val="67325B5A"/>
    <w:rsid w:val="67D54866"/>
    <w:rsid w:val="67DD578B"/>
    <w:rsid w:val="68625C98"/>
    <w:rsid w:val="691050EB"/>
    <w:rsid w:val="697E5D59"/>
    <w:rsid w:val="698279A8"/>
    <w:rsid w:val="69C03130"/>
    <w:rsid w:val="69E65F70"/>
    <w:rsid w:val="6A135C12"/>
    <w:rsid w:val="6A7520DF"/>
    <w:rsid w:val="6A7C1DBF"/>
    <w:rsid w:val="6AA03695"/>
    <w:rsid w:val="6AC128B3"/>
    <w:rsid w:val="6B6A52CA"/>
    <w:rsid w:val="6BB20695"/>
    <w:rsid w:val="6C077347"/>
    <w:rsid w:val="6C1504C4"/>
    <w:rsid w:val="6C82525B"/>
    <w:rsid w:val="6CBC567F"/>
    <w:rsid w:val="6CC02127"/>
    <w:rsid w:val="6CD13D74"/>
    <w:rsid w:val="6D147885"/>
    <w:rsid w:val="6D26779F"/>
    <w:rsid w:val="6DE93823"/>
    <w:rsid w:val="6E087D91"/>
    <w:rsid w:val="6EBB0EBA"/>
    <w:rsid w:val="6EC80E51"/>
    <w:rsid w:val="6F7C0F78"/>
    <w:rsid w:val="6FC203E7"/>
    <w:rsid w:val="6FE2671E"/>
    <w:rsid w:val="7057415E"/>
    <w:rsid w:val="70A05857"/>
    <w:rsid w:val="71B8501F"/>
    <w:rsid w:val="71CC7543"/>
    <w:rsid w:val="71D96859"/>
    <w:rsid w:val="71E5266B"/>
    <w:rsid w:val="71FA3ECF"/>
    <w:rsid w:val="720E3A16"/>
    <w:rsid w:val="72CA312C"/>
    <w:rsid w:val="73102F78"/>
    <w:rsid w:val="73881A17"/>
    <w:rsid w:val="73EC4FBF"/>
    <w:rsid w:val="75C735CB"/>
    <w:rsid w:val="760B6CA2"/>
    <w:rsid w:val="7632462D"/>
    <w:rsid w:val="764C6B86"/>
    <w:rsid w:val="76F913BE"/>
    <w:rsid w:val="77573D27"/>
    <w:rsid w:val="77EE514F"/>
    <w:rsid w:val="77FA24D1"/>
    <w:rsid w:val="77FB875A"/>
    <w:rsid w:val="77FD31EB"/>
    <w:rsid w:val="782B0837"/>
    <w:rsid w:val="78A36D5B"/>
    <w:rsid w:val="78BB101F"/>
    <w:rsid w:val="790E3028"/>
    <w:rsid w:val="792C1CFC"/>
    <w:rsid w:val="79EB6EE4"/>
    <w:rsid w:val="7A4C04B1"/>
    <w:rsid w:val="7A593BAA"/>
    <w:rsid w:val="7A6A69DB"/>
    <w:rsid w:val="7A841382"/>
    <w:rsid w:val="7AA31BF5"/>
    <w:rsid w:val="7AB14540"/>
    <w:rsid w:val="7AEE4282"/>
    <w:rsid w:val="7B0B77BB"/>
    <w:rsid w:val="7B292840"/>
    <w:rsid w:val="7B2F7D1D"/>
    <w:rsid w:val="7B3274AA"/>
    <w:rsid w:val="7B396E35"/>
    <w:rsid w:val="7B4F41E1"/>
    <w:rsid w:val="7BBA2759"/>
    <w:rsid w:val="7D1A4DCC"/>
    <w:rsid w:val="7D2E7CF8"/>
    <w:rsid w:val="7D38217E"/>
    <w:rsid w:val="7D802572"/>
    <w:rsid w:val="7DA527FC"/>
    <w:rsid w:val="7E0202AB"/>
    <w:rsid w:val="7E3855A4"/>
    <w:rsid w:val="7E8A7B58"/>
    <w:rsid w:val="7EF533D8"/>
    <w:rsid w:val="7F61630B"/>
    <w:rsid w:val="7F892F1A"/>
    <w:rsid w:val="7F8D767F"/>
    <w:rsid w:val="9EFF2D4B"/>
    <w:rsid w:val="F3F3A082"/>
    <w:rsid w:val="FCBB8861"/>
    <w:rsid w:val="FFBA6DD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2"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2"/>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link w:val="27"/>
    <w:qFormat/>
    <w:uiPriority w:val="0"/>
    <w:pPr>
      <w:keepNext/>
      <w:keepLines/>
      <w:spacing w:before="260" w:after="260" w:line="413" w:lineRule="auto"/>
      <w:outlineLvl w:val="2"/>
    </w:pPr>
    <w:rPr>
      <w:b/>
      <w:kern w:val="0"/>
      <w:sz w:val="32"/>
      <w:szCs w:val="20"/>
    </w:rPr>
  </w:style>
  <w:style w:type="paragraph" w:styleId="4">
    <w:name w:val="heading 4"/>
    <w:basedOn w:val="1"/>
    <w:next w:val="1"/>
    <w:link w:val="21"/>
    <w:qFormat/>
    <w:uiPriority w:val="0"/>
    <w:pPr>
      <w:keepNext/>
      <w:spacing w:before="240" w:after="60"/>
      <w:outlineLvl w:val="3"/>
    </w:pPr>
    <w:rPr>
      <w:b/>
      <w:kern w:val="0"/>
      <w:sz w:val="28"/>
      <w:szCs w:val="20"/>
    </w:rPr>
  </w:style>
  <w:style w:type="character" w:default="1" w:styleId="11">
    <w:name w:val="Default Paragraph Font"/>
    <w:unhideWhenUsed/>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5">
    <w:name w:val="annotation text"/>
    <w:basedOn w:val="1"/>
    <w:unhideWhenUsed/>
    <w:qFormat/>
    <w:uiPriority w:val="99"/>
    <w:pPr>
      <w:jc w:val="left"/>
    </w:pPr>
  </w:style>
  <w:style w:type="paragraph" w:styleId="6">
    <w:name w:val="Body Text Indent"/>
    <w:basedOn w:val="1"/>
    <w:link w:val="26"/>
    <w:qFormat/>
    <w:uiPriority w:val="0"/>
    <w:pPr>
      <w:ind w:firstLine="570"/>
    </w:pPr>
    <w:rPr>
      <w:rFonts w:ascii="宋体"/>
      <w:kern w:val="0"/>
      <w:sz w:val="28"/>
      <w:szCs w:val="20"/>
    </w:rPr>
  </w:style>
  <w:style w:type="paragraph" w:styleId="7">
    <w:name w:val="Date"/>
    <w:basedOn w:val="1"/>
    <w:next w:val="1"/>
    <w:link w:val="23"/>
    <w:qFormat/>
    <w:uiPriority w:val="0"/>
    <w:pPr>
      <w:ind w:left="100" w:leftChars="2500"/>
    </w:pPr>
    <w:rPr>
      <w:kern w:val="0"/>
      <w:sz w:val="20"/>
    </w:rPr>
  </w:style>
  <w:style w:type="paragraph" w:styleId="8">
    <w:name w:val="Balloon Text"/>
    <w:basedOn w:val="1"/>
    <w:link w:val="28"/>
    <w:unhideWhenUsed/>
    <w:qFormat/>
    <w:uiPriority w:val="99"/>
    <w:rPr>
      <w:kern w:val="0"/>
      <w:sz w:val="18"/>
      <w:szCs w:val="18"/>
    </w:rPr>
  </w:style>
  <w:style w:type="paragraph" w:styleId="9">
    <w:name w:val="footer"/>
    <w:basedOn w:val="1"/>
    <w:link w:val="25"/>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character" w:styleId="12">
    <w:name w:val="page number"/>
    <w:qFormat/>
    <w:uiPriority w:val="0"/>
  </w:style>
  <w:style w:type="character" w:styleId="13">
    <w:name w:val="Hyperlink"/>
    <w:unhideWhenUsed/>
    <w:qFormat/>
    <w:uiPriority w:val="99"/>
    <w:rPr>
      <w:color w:val="0563C1"/>
      <w:u w:val="single"/>
    </w:rPr>
  </w:style>
  <w:style w:type="table" w:styleId="15">
    <w:name w:val="Table Grid"/>
    <w:basedOn w:val="14"/>
    <w:qFormat/>
    <w:uiPriority w:val="59"/>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6">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标题 4 Char"/>
    <w:link w:val="4"/>
    <w:qFormat/>
    <w:uiPriority w:val="0"/>
    <w:rPr>
      <w:rFonts w:ascii="Times New Roman" w:hAnsi="Times New Roman" w:eastAsia="宋体" w:cs="Times New Roman"/>
      <w:b/>
      <w:sz w:val="28"/>
      <w:szCs w:val="20"/>
    </w:rPr>
  </w:style>
  <w:style w:type="character" w:customStyle="1" w:styleId="22">
    <w:name w:val="页眉 Char"/>
    <w:link w:val="10"/>
    <w:qFormat/>
    <w:uiPriority w:val="0"/>
    <w:rPr>
      <w:sz w:val="18"/>
      <w:szCs w:val="18"/>
    </w:rPr>
  </w:style>
  <w:style w:type="character" w:customStyle="1" w:styleId="23">
    <w:name w:val="日期 Char"/>
    <w:link w:val="7"/>
    <w:qFormat/>
    <w:uiPriority w:val="0"/>
    <w:rPr>
      <w:rFonts w:ascii="Times New Roman" w:hAnsi="Times New Roman" w:eastAsia="宋体" w:cs="Times New Roman"/>
      <w:szCs w:val="24"/>
    </w:rPr>
  </w:style>
  <w:style w:type="character" w:customStyle="1" w:styleId="24">
    <w:name w:val="msoins"/>
    <w:qFormat/>
    <w:uiPriority w:val="0"/>
  </w:style>
  <w:style w:type="character" w:customStyle="1" w:styleId="25">
    <w:name w:val="页脚 Char"/>
    <w:link w:val="9"/>
    <w:qFormat/>
    <w:uiPriority w:val="99"/>
    <w:rPr>
      <w:sz w:val="18"/>
      <w:szCs w:val="18"/>
    </w:rPr>
  </w:style>
  <w:style w:type="character" w:customStyle="1" w:styleId="26">
    <w:name w:val="正文文本缩进 Char"/>
    <w:link w:val="6"/>
    <w:qFormat/>
    <w:uiPriority w:val="0"/>
    <w:rPr>
      <w:rFonts w:ascii="宋体" w:hAnsi="Times New Roman" w:eastAsia="宋体" w:cs="Times New Roman"/>
      <w:sz w:val="28"/>
      <w:szCs w:val="20"/>
    </w:rPr>
  </w:style>
  <w:style w:type="character" w:customStyle="1" w:styleId="27">
    <w:name w:val="标题 3 Char"/>
    <w:link w:val="3"/>
    <w:qFormat/>
    <w:uiPriority w:val="0"/>
    <w:rPr>
      <w:rFonts w:ascii="Times New Roman" w:hAnsi="Times New Roman" w:eastAsia="宋体" w:cs="Times New Roman"/>
      <w:b/>
      <w:sz w:val="32"/>
      <w:szCs w:val="20"/>
    </w:rPr>
  </w:style>
  <w:style w:type="character" w:customStyle="1" w:styleId="28">
    <w:name w:val="批注框文本 Char"/>
    <w:link w:val="8"/>
    <w:semiHidden/>
    <w:qFormat/>
    <w:uiPriority w:val="99"/>
    <w:rPr>
      <w:rFonts w:ascii="Times New Roman" w:hAnsi="Times New Roman" w:eastAsia="宋体" w:cs="Times New Roman"/>
      <w:sz w:val="18"/>
      <w:szCs w:val="18"/>
    </w:rPr>
  </w:style>
  <w:style w:type="character" w:customStyle="1" w:styleId="29">
    <w:name w:val="未处理的提及"/>
    <w:unhideWhenUsed/>
    <w:qFormat/>
    <w:uiPriority w:val="99"/>
    <w:rPr>
      <w:color w:val="605E5C"/>
      <w:shd w:val="clear" w:color="auto" w:fill="E1DFDD"/>
    </w:rPr>
  </w:style>
  <w:style w:type="character" w:customStyle="1" w:styleId="30">
    <w:name w:val="占位符文本1"/>
    <w:basedOn w:val="11"/>
    <w:unhideWhenUsed/>
    <w:qFormat/>
    <w:uiPriority w:val="99"/>
    <w:rPr>
      <w:color w:val="808080"/>
    </w:rPr>
  </w:style>
  <w:style w:type="character" w:customStyle="1" w:styleId="31">
    <w:name w:val="占位符文本2"/>
    <w:basedOn w:val="1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739</Words>
  <Characters>4215</Characters>
  <Lines>35</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2024-11-24T16:00:00Z</dcterms:created>
  <dc:creator>韦静(退回拟稿人)</dc:creator>
  <cp:lastModifiedBy>王倚江</cp:lastModifiedBy>
  <cp:lastPrinted>2025-05-19T15:03:00Z</cp:lastPrinted>
  <dcterms:modified xsi:type="dcterms:W3CDTF">2025-09-23T07:44:43Z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2DCDA77A51614862B652255AFCB230BC</vt:lpwstr>
  </property>
  <property fmtid="{D5CDD505-2E9C-101B-9397-08002B2CF9AE}" pid="4" name="KSOTemplateDocerSaveRecord">
    <vt:lpwstr>eyJoZGlkIjoiNTY1Njg1OWQxMTVmODRmNWQ1NTUwMWJiY2EyN2E0M2EiLCJ1c2VySWQiOiI2ODYzOTg0NDAifQ==</vt:lpwstr>
  </property>
</Properties>
</file>